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7EBE5" w14:textId="6D9089DE" w:rsidR="002203A1" w:rsidRDefault="002203A1" w:rsidP="002203A1">
      <w:pPr>
        <w:pStyle w:val="a6"/>
        <w:spacing w:after="0" w:line="276" w:lineRule="auto"/>
        <w:ind w:firstLine="0"/>
        <w:jc w:val="right"/>
        <w:rPr>
          <w:i/>
        </w:rPr>
      </w:pPr>
      <w:r w:rsidRPr="002203A1">
        <w:rPr>
          <w:i/>
        </w:rPr>
        <w:t>Приложение №</w:t>
      </w:r>
      <w:r w:rsidR="00E55F25">
        <w:rPr>
          <w:i/>
        </w:rPr>
        <w:t xml:space="preserve"> </w:t>
      </w:r>
      <w:r w:rsidRPr="002203A1">
        <w:rPr>
          <w:i/>
        </w:rPr>
        <w:t>3 к Документации о закупке</w:t>
      </w:r>
    </w:p>
    <w:p w14:paraId="6BABB4A7" w14:textId="77777777" w:rsidR="002203A1" w:rsidRDefault="002203A1" w:rsidP="002203A1">
      <w:pPr>
        <w:pStyle w:val="a6"/>
        <w:spacing w:after="0" w:line="276" w:lineRule="auto"/>
        <w:ind w:firstLine="0"/>
        <w:jc w:val="right"/>
      </w:pPr>
    </w:p>
    <w:p w14:paraId="353E4EC6" w14:textId="77777777" w:rsidR="002203A1" w:rsidRDefault="002203A1" w:rsidP="00E55F25">
      <w:pPr>
        <w:pStyle w:val="a6"/>
        <w:spacing w:after="0" w:line="276" w:lineRule="auto"/>
        <w:ind w:left="0" w:firstLine="0"/>
        <w:jc w:val="center"/>
        <w:rPr>
          <w:b/>
        </w:rPr>
      </w:pPr>
      <w:r w:rsidRPr="002203A1">
        <w:rPr>
          <w:b/>
        </w:rPr>
        <w:t>Критерии отбора и оценки заявок Участников закупки</w:t>
      </w:r>
    </w:p>
    <w:p w14:paraId="3260CF2F" w14:textId="77777777" w:rsidR="002203A1" w:rsidRDefault="002203A1" w:rsidP="00E55F25">
      <w:pPr>
        <w:pStyle w:val="a6"/>
        <w:spacing w:after="0" w:line="276" w:lineRule="auto"/>
        <w:ind w:left="0" w:firstLine="0"/>
        <w:jc w:val="right"/>
      </w:pPr>
    </w:p>
    <w:p w14:paraId="3366A78A" w14:textId="331B43B0" w:rsidR="002203A1" w:rsidRDefault="002203A1" w:rsidP="00E55F25">
      <w:pPr>
        <w:pStyle w:val="a6"/>
        <w:numPr>
          <w:ilvl w:val="0"/>
          <w:numId w:val="1"/>
        </w:numPr>
        <w:spacing w:after="0" w:line="276" w:lineRule="auto"/>
        <w:ind w:left="0"/>
        <w:rPr>
          <w:b/>
        </w:rPr>
      </w:pPr>
      <w:r w:rsidRPr="002203A1">
        <w:rPr>
          <w:b/>
        </w:rPr>
        <w:t>Критерии отбора</w:t>
      </w:r>
    </w:p>
    <w:p w14:paraId="3800937A" w14:textId="77777777" w:rsidR="00E55F25" w:rsidRDefault="00E55F25" w:rsidP="00E55F25">
      <w:pPr>
        <w:pStyle w:val="a6"/>
        <w:spacing w:after="0" w:line="276" w:lineRule="auto"/>
        <w:ind w:left="0" w:firstLine="0"/>
        <w:rPr>
          <w:b/>
        </w:rPr>
      </w:pPr>
    </w:p>
    <w:tbl>
      <w:tblPr>
        <w:tblW w:w="10916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545"/>
        <w:gridCol w:w="6521"/>
      </w:tblGrid>
      <w:tr w:rsidR="002203A1" w14:paraId="3AA24AD5" w14:textId="77777777" w:rsidTr="00E55F25">
        <w:trPr>
          <w:trHeight w:val="50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6BFF" w14:textId="09266F50" w:rsidR="002203A1" w:rsidRPr="002203A1" w:rsidRDefault="002203A1" w:rsidP="00E55F25">
            <w:pPr>
              <w:jc w:val="center"/>
              <w:rPr>
                <w:szCs w:val="20"/>
              </w:rPr>
            </w:pPr>
            <w:r w:rsidRPr="002203A1">
              <w:rPr>
                <w:szCs w:val="20"/>
              </w:rPr>
              <w:t>№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049C" w14:textId="77777777" w:rsidR="002203A1" w:rsidRPr="002203A1" w:rsidRDefault="002203A1" w:rsidP="002203A1">
            <w:pPr>
              <w:spacing w:before="240" w:after="120"/>
              <w:jc w:val="center"/>
              <w:rPr>
                <w:szCs w:val="20"/>
              </w:rPr>
            </w:pPr>
            <w:r w:rsidRPr="002203A1">
              <w:rPr>
                <w:rFonts w:hint="eastAsia"/>
                <w:b/>
                <w:szCs w:val="20"/>
              </w:rPr>
              <w:t>Наименование</w:t>
            </w:r>
            <w:r w:rsidRPr="002203A1">
              <w:rPr>
                <w:b/>
                <w:szCs w:val="20"/>
              </w:rPr>
              <w:t xml:space="preserve"> </w:t>
            </w:r>
            <w:r w:rsidRPr="002203A1">
              <w:rPr>
                <w:rFonts w:hint="eastAsia"/>
                <w:b/>
                <w:szCs w:val="20"/>
              </w:rPr>
              <w:t>критерия</w:t>
            </w:r>
            <w:r w:rsidRPr="002203A1">
              <w:rPr>
                <w:b/>
                <w:szCs w:val="20"/>
              </w:rPr>
              <w:t>/</w:t>
            </w:r>
            <w:r w:rsidRPr="002203A1">
              <w:rPr>
                <w:rFonts w:hint="eastAsia"/>
                <w:b/>
                <w:szCs w:val="20"/>
              </w:rPr>
              <w:t>подкритерия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8886" w14:textId="77777777" w:rsidR="002203A1" w:rsidRPr="002203A1" w:rsidRDefault="002203A1" w:rsidP="002203A1">
            <w:pPr>
              <w:jc w:val="center"/>
              <w:rPr>
                <w:b/>
                <w:szCs w:val="20"/>
              </w:rPr>
            </w:pPr>
            <w:r w:rsidRPr="002203A1">
              <w:rPr>
                <w:rFonts w:hint="eastAsia"/>
                <w:b/>
                <w:szCs w:val="20"/>
              </w:rPr>
              <w:t>Наименование</w:t>
            </w:r>
            <w:r w:rsidRPr="002203A1">
              <w:rPr>
                <w:b/>
                <w:szCs w:val="20"/>
              </w:rPr>
              <w:t xml:space="preserve"> </w:t>
            </w:r>
            <w:r w:rsidRPr="002203A1">
              <w:rPr>
                <w:rFonts w:hint="eastAsia"/>
                <w:b/>
                <w:szCs w:val="20"/>
              </w:rPr>
              <w:t>оцениваемых</w:t>
            </w:r>
            <w:r w:rsidRPr="002203A1">
              <w:rPr>
                <w:b/>
                <w:szCs w:val="20"/>
              </w:rPr>
              <w:t xml:space="preserve"> </w:t>
            </w:r>
            <w:r w:rsidRPr="002203A1">
              <w:rPr>
                <w:rFonts w:hint="eastAsia"/>
                <w:b/>
                <w:szCs w:val="20"/>
              </w:rPr>
              <w:t>сведений</w:t>
            </w:r>
          </w:p>
        </w:tc>
      </w:tr>
      <w:tr w:rsidR="002203A1" w:rsidRPr="002203A1" w14:paraId="1A87C8AF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1696" w14:textId="77777777" w:rsidR="002203A1" w:rsidRPr="002203A1" w:rsidRDefault="002203A1" w:rsidP="002203A1">
            <w:pPr>
              <w:rPr>
                <w:rFonts w:cs="Tahoma"/>
                <w:b/>
                <w:szCs w:val="20"/>
                <w:lang w:val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5E9F" w14:textId="77777777" w:rsidR="002203A1" w:rsidRPr="002203A1" w:rsidRDefault="002203A1" w:rsidP="002203A1">
            <w:pPr>
              <w:spacing w:before="120" w:after="120"/>
              <w:rPr>
                <w:rFonts w:cs="Tahoma"/>
                <w:b/>
                <w:szCs w:val="20"/>
                <w:lang w:val="en-US"/>
              </w:rPr>
            </w:pPr>
            <w:r>
              <w:rPr>
                <w:rFonts w:cs="Tahoma"/>
                <w:b/>
                <w:szCs w:val="20"/>
              </w:rPr>
              <w:t>Отборочный этап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9C357" w14:textId="77777777" w:rsidR="002203A1" w:rsidRPr="002203A1" w:rsidRDefault="002203A1" w:rsidP="002203A1">
            <w:pPr>
              <w:spacing w:before="120" w:after="120"/>
              <w:rPr>
                <w:rFonts w:cs="Tahoma"/>
                <w:szCs w:val="20"/>
                <w:lang w:val="en-US"/>
              </w:rPr>
            </w:pPr>
          </w:p>
        </w:tc>
      </w:tr>
      <w:tr w:rsidR="002203A1" w:rsidRPr="002203A1" w14:paraId="4E055788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5439" w14:textId="77777777" w:rsidR="002203A1" w:rsidRPr="002203A1" w:rsidRDefault="002203A1" w:rsidP="002203A1">
            <w:pPr>
              <w:rPr>
                <w:rFonts w:cs="Tahoma"/>
                <w:b/>
                <w:szCs w:val="20"/>
                <w:lang w:val="en-US"/>
              </w:rPr>
            </w:pPr>
            <w:r>
              <w:rPr>
                <w:rFonts w:cs="Tahoma"/>
                <w:b/>
                <w:szCs w:val="20"/>
              </w:rPr>
              <w:t>1.1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168D" w14:textId="77777777" w:rsidR="002203A1" w:rsidRPr="002203A1" w:rsidRDefault="002203A1" w:rsidP="002203A1">
            <w:pPr>
              <w:spacing w:before="120" w:after="120"/>
              <w:rPr>
                <w:rFonts w:cs="Tahoma"/>
                <w:b/>
                <w:szCs w:val="20"/>
                <w:lang w:val="en-US"/>
              </w:rPr>
            </w:pPr>
            <w:r>
              <w:rPr>
                <w:rFonts w:cs="Tahoma"/>
                <w:b/>
                <w:szCs w:val="20"/>
              </w:rPr>
              <w:t>Статус участника закупки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0533" w14:textId="77777777" w:rsidR="002203A1" w:rsidRPr="002203A1" w:rsidRDefault="002203A1" w:rsidP="002203A1">
            <w:pPr>
              <w:spacing w:before="120" w:after="120"/>
              <w:rPr>
                <w:rFonts w:cs="Tahoma"/>
                <w:szCs w:val="20"/>
                <w:lang w:val="en-US"/>
              </w:rPr>
            </w:pPr>
          </w:p>
        </w:tc>
      </w:tr>
      <w:tr w:rsidR="002203A1" w:rsidRPr="002203A1" w14:paraId="1A3DFE27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3BE2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F0C6" w14:textId="77777777" w:rsidR="002203A1" w:rsidRPr="002203A1" w:rsidRDefault="002203A1" w:rsidP="002203A1">
            <w:pPr>
              <w:spacing w:before="120" w:after="120"/>
              <w:rPr>
                <w:rFonts w:cs="Tahoma"/>
                <w:szCs w:val="20"/>
                <w:lang w:val="en-US"/>
              </w:rPr>
            </w:pPr>
            <w:r w:rsidRPr="002203A1">
              <w:rPr>
                <w:rFonts w:cs="Tahoma"/>
                <w:szCs w:val="20"/>
              </w:rPr>
              <w:t>Правоспособность участника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7ABA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Документы, подтверждающие правоспособность Участника:</w:t>
            </w:r>
            <w:r w:rsidRPr="002203A1">
              <w:rPr>
                <w:rFonts w:cs="Tahoma"/>
                <w:szCs w:val="20"/>
              </w:rPr>
              <w:br/>
              <w:t>•</w:t>
            </w:r>
            <w:r w:rsidRPr="002203A1">
              <w:rPr>
                <w:rFonts w:cs="Tahoma"/>
                <w:szCs w:val="20"/>
              </w:rPr>
              <w:tab/>
              <w:t>Наличие сведений об участнике в ЕГРЮЛ/ЕГРИП,</w:t>
            </w:r>
            <w:r w:rsidRPr="002203A1">
              <w:rPr>
                <w:rFonts w:cs="Tahoma"/>
                <w:szCs w:val="20"/>
              </w:rPr>
              <w:br/>
              <w:t>•</w:t>
            </w:r>
            <w:r w:rsidRPr="002203A1">
              <w:rPr>
                <w:rFonts w:cs="Tahoma"/>
                <w:szCs w:val="20"/>
              </w:rPr>
              <w:tab/>
              <w:t>Устав (в том числе типовой) (копия, заверенная Участником),</w:t>
            </w:r>
            <w:r w:rsidRPr="002203A1">
              <w:rPr>
                <w:rFonts w:cs="Tahoma"/>
                <w:szCs w:val="20"/>
              </w:rPr>
              <w:br/>
              <w:t>•</w:t>
            </w:r>
            <w:r w:rsidRPr="002203A1">
              <w:rPr>
                <w:rFonts w:cs="Tahoma"/>
                <w:szCs w:val="20"/>
              </w:rPr>
              <w:tab/>
              <w:t>Свидетельство о государственной регистрации юридического лица/лист записи Единого государственного реестра юридических лиц, свидетельство о государственной регистрации физического лица в качестве индивидуального предпринимателя/лист записи Единого государственного реестра индивидуальных предпринимателей (копия, заверенная Участником закупки),</w:t>
            </w:r>
            <w:r w:rsidRPr="002203A1">
              <w:rPr>
                <w:rFonts w:cs="Tahoma"/>
                <w:szCs w:val="20"/>
              </w:rPr>
              <w:br/>
              <w:t>•</w:t>
            </w:r>
            <w:r w:rsidRPr="002203A1">
              <w:rPr>
                <w:rFonts w:cs="Tahoma"/>
                <w:szCs w:val="20"/>
              </w:rPr>
              <w:tab/>
              <w:t>Свидетельство о постановке на учет в налоговом органе по месту нахождения и присвоении ИНН/КПП (копия, заверенная Участником).</w:t>
            </w:r>
          </w:p>
        </w:tc>
      </w:tr>
      <w:tr w:rsidR="002203A1" w:rsidRPr="002203A1" w14:paraId="32D49FA9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ECB9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59C4" w14:textId="77777777" w:rsidR="002203A1" w:rsidRPr="002203A1" w:rsidRDefault="002203A1" w:rsidP="002203A1">
            <w:pPr>
              <w:spacing w:before="120" w:after="120"/>
              <w:rPr>
                <w:rFonts w:cs="Tahoma"/>
                <w:szCs w:val="20"/>
                <w:lang w:val="en-US"/>
              </w:rPr>
            </w:pPr>
            <w:r w:rsidRPr="002203A1">
              <w:rPr>
                <w:rFonts w:cs="Tahoma"/>
                <w:szCs w:val="20"/>
              </w:rPr>
              <w:t>Благонадежность Участника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5E8A" w14:textId="77777777" w:rsidR="002203A1" w:rsidRPr="002203A1" w:rsidRDefault="002203A1" w:rsidP="002203A1">
            <w:pPr>
              <w:spacing w:before="120" w:after="120"/>
              <w:rPr>
                <w:rFonts w:cs="Tahoma"/>
                <w:szCs w:val="20"/>
                <w:lang w:val="en-US"/>
              </w:rPr>
            </w:pPr>
          </w:p>
        </w:tc>
      </w:tr>
      <w:tr w:rsidR="002203A1" w:rsidRPr="002203A1" w14:paraId="5394D681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F3D5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1.1.2.1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F943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Отсутствие в отношении Участника закупки сведений, опубликованных в журнале «Вестник государственной регистрации»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52BD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Декларация о соответствии Участника закупки установленным требованиям</w:t>
            </w:r>
          </w:p>
        </w:tc>
      </w:tr>
      <w:tr w:rsidR="002203A1" w:rsidRPr="002203A1" w14:paraId="4DD7D2A3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F566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1.1.2.2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F80F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Отсутствие применения в отношении Участника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4586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Справка о кадровых ресурсах, Декларация о соответствии Участника закупки установленным требованиям</w:t>
            </w:r>
          </w:p>
        </w:tc>
      </w:tr>
      <w:tr w:rsidR="002203A1" w:rsidRPr="002203A1" w14:paraId="3E483EFE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9074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1.1.2.3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98CB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 xml:space="preserve">Отсутствие судебных актов арбитражных и/или третейских судов, вступивших в законную силу, не в пользу Участника </w:t>
            </w:r>
            <w:r w:rsidRPr="002203A1">
              <w:rPr>
                <w:rFonts w:cs="Tahoma"/>
                <w:szCs w:val="20"/>
              </w:rPr>
              <w:lastRenderedPageBreak/>
              <w:t>закупки вследствие неисполнения  им договорных обязательств по договорам поставки, подряда, оказания услуг за период текущего календарного года и двух последних полных календарных лет, предшествующих дате подачи заявки участником закупки.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77E4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lastRenderedPageBreak/>
              <w:t>Справка об участии в судебных разбирательствах, Декларация о соответствии Участника закупки установленным требованиям</w:t>
            </w:r>
          </w:p>
        </w:tc>
      </w:tr>
      <w:tr w:rsidR="002203A1" w:rsidRPr="002203A1" w14:paraId="222683FC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75F4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1.1.2.4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1020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Отсутствие необъяснимых противоречий и недостоверных сведений в предоставленных Участником закупки документах и информации.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401D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Информация, сведения, представленные Участником закупки в своей заявке на предмет отсутствия необъяснимых противоречий и недостоверных сведений внешней информации, полученной не из заявки Участника закупки</w:t>
            </w:r>
          </w:p>
        </w:tc>
      </w:tr>
      <w:tr w:rsidR="002203A1" w:rsidRPr="002203A1" w14:paraId="0B6202DE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2028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6E8D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proofErr w:type="spellStart"/>
            <w:r w:rsidRPr="002203A1">
              <w:rPr>
                <w:rFonts w:cs="Tahoma"/>
                <w:szCs w:val="20"/>
              </w:rPr>
              <w:t>Непроведение</w:t>
            </w:r>
            <w:proofErr w:type="spellEnd"/>
            <w:r w:rsidRPr="002203A1">
              <w:rPr>
                <w:rFonts w:cs="Tahoma"/>
                <w:szCs w:val="20"/>
              </w:rPr>
              <w:t xml:space="preserve"> ликвидации, реорганизации (в форме, не предусматривающей наличие правопреемника по всем правам и обязанностям)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1720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 xml:space="preserve">Декларация о соответствии Участника закупки установленным требованиям </w:t>
            </w:r>
          </w:p>
        </w:tc>
      </w:tr>
      <w:tr w:rsidR="002203A1" w:rsidRPr="002203A1" w14:paraId="20017CA9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A2C3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01D0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proofErr w:type="spellStart"/>
            <w:r w:rsidRPr="002203A1">
              <w:rPr>
                <w:rFonts w:cs="Tahoma"/>
                <w:szCs w:val="20"/>
              </w:rPr>
              <w:t>Непривлечение</w:t>
            </w:r>
            <w:proofErr w:type="spellEnd"/>
            <w:r w:rsidRPr="002203A1">
              <w:rPr>
                <w:rFonts w:cs="Tahoma"/>
                <w:szCs w:val="20"/>
              </w:rPr>
              <w:t xml:space="preserve"> участника –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"Незаконное вознаграждение от имени юридического лица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3C69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 xml:space="preserve">Декларация о соответствии Участника закупки установленным требованиям,  </w:t>
            </w:r>
          </w:p>
        </w:tc>
      </w:tr>
      <w:tr w:rsidR="002203A1" w:rsidRPr="002203A1" w14:paraId="685F40BD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2440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A8AE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proofErr w:type="spellStart"/>
            <w:r w:rsidRPr="002203A1">
              <w:rPr>
                <w:rFonts w:cs="Tahoma"/>
                <w:szCs w:val="20"/>
              </w:rPr>
              <w:t>Неприостановление</w:t>
            </w:r>
            <w:proofErr w:type="spellEnd"/>
            <w:r w:rsidRPr="002203A1">
              <w:rPr>
                <w:rFonts w:cs="Tahoma"/>
                <w:szCs w:val="20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7C0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Декларация о соответствии Участника закупки установленным требованиям</w:t>
            </w:r>
          </w:p>
        </w:tc>
      </w:tr>
      <w:tr w:rsidR="002203A1" w:rsidRPr="002203A1" w14:paraId="0B3DC6AD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7125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7428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финансовый год, размер которой превышает двадцать пять процентов балансовой стоимости активов Участника закупки по данным бухгалтерской отчетности за </w:t>
            </w:r>
            <w:r w:rsidRPr="002203A1">
              <w:rPr>
                <w:rFonts w:cs="Tahoma"/>
                <w:szCs w:val="20"/>
              </w:rPr>
              <w:lastRenderedPageBreak/>
              <w:t>последний завершенный отчетный период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24DE" w14:textId="77777777" w:rsidR="00E55F25" w:rsidRDefault="002203A1" w:rsidP="00E55F25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lastRenderedPageBreak/>
              <w:t>Бухгалтерская отчетность (декларация – для упрощенной системы налогообложения) за период, установленный в закупочной документации,</w:t>
            </w:r>
          </w:p>
          <w:p w14:paraId="63A41012" w14:textId="77777777" w:rsidR="00E55F25" w:rsidRDefault="002203A1" w:rsidP="00E55F25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 xml:space="preserve">Справка об исполнении налогоплательщиком (плательщиком сборов, налоговым агентом) обязанности по уплате налогов, сборов, пеней, штрафов, процентов,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до дня размещения в ЕИС извещения о проведении </w:t>
            </w:r>
            <w:r w:rsidRPr="002203A1">
              <w:rPr>
                <w:rFonts w:cs="Tahoma"/>
                <w:szCs w:val="20"/>
              </w:rPr>
              <w:lastRenderedPageBreak/>
              <w:t>закупки или нотариально засвидетельствованную копия такой справки,</w:t>
            </w:r>
          </w:p>
          <w:p w14:paraId="5D79BB3D" w14:textId="77777777" w:rsidR="00E55F25" w:rsidRDefault="002203A1" w:rsidP="00E55F25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Справка о наличии по состоянию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справки,</w:t>
            </w:r>
          </w:p>
          <w:p w14:paraId="2B6CE299" w14:textId="0EF80F90" w:rsidR="002203A1" w:rsidRPr="00E55F25" w:rsidRDefault="002203A1" w:rsidP="00E55F25">
            <w:pPr>
              <w:spacing w:before="120" w:after="120"/>
              <w:ind w:right="172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Декларация о соответствии Участника закупки установленным требованиям.</w:t>
            </w:r>
          </w:p>
        </w:tc>
      </w:tr>
      <w:tr w:rsidR="002203A1" w:rsidRPr="002203A1" w14:paraId="78BF7523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8C13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lastRenderedPageBreak/>
              <w:t>1.1.7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9BB4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Отсутствие сведений об Участнике закупки в реестре недобросовестных поставщиков, предусмотренном ФЗ от 18 июля 2011 года N 223-ФЗ «О закупках товаров, работ, услуг отдельными видами юридических лиц» и ФЗ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2A53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Сведения в реестре (-ах) недобросовестных поставщиков</w:t>
            </w:r>
          </w:p>
        </w:tc>
      </w:tr>
      <w:tr w:rsidR="002203A1" w:rsidRPr="002203A1" w14:paraId="1D6E9D6A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A863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D4BB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Отсутствие сведений об участнике закупки в реестре иностранных агентов, размещенном на официальном сайте федерального органа исполнительной власти, уполномоченного в сфере регистрации некоммерческих организаций, в информационно-телекоммуникационной сети «Интернет» в соответствии с частью 4 статьи 5 Федерального закона от 14.07.2022 № 255-ФЗ «О контроле за деятельностью лиц, находящихся под иностранным влиянием» (отсутствие статуса иностранного агента).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B997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Сведения в реестре иностранных агентов,  Декларация о соответствии Участника закупки установленным требованиям</w:t>
            </w:r>
          </w:p>
        </w:tc>
      </w:tr>
      <w:tr w:rsidR="002203A1" w:rsidRPr="002203A1" w14:paraId="5E5516FB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B0E4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FC50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Отсутствие у участника закупки ограничений для участия в закупках, установленных законодательством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489A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Декларация о соответствии Участника закупки установленным требованиям</w:t>
            </w:r>
          </w:p>
        </w:tc>
      </w:tr>
      <w:tr w:rsidR="002203A1" w:rsidRPr="002203A1" w14:paraId="3F3C782A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8FA0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AAF1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 xml:space="preserve">Отсутствие неурегулированных фактов (наличие дебиторской задолженности, отсутствие выплат по возмещению ущерба, убытков, по оплате неустойки (штрафа, пени)) вследствие нарушений Участником закупки своих обязательств по договорам </w:t>
            </w:r>
            <w:r w:rsidRPr="002203A1">
              <w:rPr>
                <w:rFonts w:cs="Tahoma"/>
                <w:szCs w:val="20"/>
              </w:rPr>
              <w:lastRenderedPageBreak/>
              <w:t>аналогичным предмету закупки, подтвержденных судебными актами арбитражных и/или третейских судов не в пользу Участника закупки, вступившими в законную силу, перед ПАО «Т Плюс», а также перед дочерними и/или зависимыми компаниями, находящимися под управлением ПАО «Т Плюс» за период текущего календарного года и двух последних полных календарных лет, предшествующих дате подачи заявки участником закупки.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B3C6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lastRenderedPageBreak/>
              <w:t>Декларация о соответствии Участника закупки установленным требованиям</w:t>
            </w:r>
          </w:p>
        </w:tc>
      </w:tr>
      <w:tr w:rsidR="002203A1" w:rsidRPr="002203A1" w14:paraId="71BF240E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B6CE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1.1.11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C49F" w14:textId="77777777" w:rsidR="002203A1" w:rsidRPr="002203A1" w:rsidRDefault="002203A1" w:rsidP="002203A1">
            <w:pPr>
              <w:spacing w:before="120" w:after="120"/>
              <w:rPr>
                <w:rFonts w:cs="Tahoma"/>
                <w:szCs w:val="20"/>
                <w:lang w:val="en-US"/>
              </w:rPr>
            </w:pPr>
            <w:r w:rsidRPr="002203A1">
              <w:rPr>
                <w:rFonts w:cs="Tahoma"/>
                <w:szCs w:val="20"/>
              </w:rPr>
              <w:t>Участник закупки должен иметь технических специалистов, обладающих знаниями и навыками работы с программным обеспечением 1С, квалификация которых подтверждена нижеуказанными Сертификатами: «1С:Руководитель корпоративных проектов» – не менее 1. «1С:Эксперт по технологическим вопросам»– не менее 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BBB1" w14:textId="77777777" w:rsidR="002203A1" w:rsidRPr="002203A1" w:rsidRDefault="002203A1" w:rsidP="002203A1">
            <w:pPr>
              <w:spacing w:before="120" w:after="120"/>
              <w:rPr>
                <w:rFonts w:cs="Tahoma"/>
                <w:szCs w:val="20"/>
                <w:lang w:val="en-US"/>
              </w:rPr>
            </w:pPr>
            <w:r w:rsidRPr="002203A1">
              <w:rPr>
                <w:rFonts w:cs="Tahoma"/>
                <w:szCs w:val="20"/>
              </w:rPr>
              <w:t>Справка о кадровых ресурсах по форме 9 документации о закупке с информацией о наличии технических специалистов, обладающих знаниями и навыками работы с программным обеспечением 1С, квалификация которых подтверждена нижеуказанными Сертификатами:</w:t>
            </w:r>
            <w:r w:rsidRPr="002203A1">
              <w:rPr>
                <w:rFonts w:cs="Tahoma"/>
                <w:szCs w:val="20"/>
              </w:rPr>
              <w:br/>
              <w:t>• «1С:Руководитель корпоративных проектов» – не менее 1.</w:t>
            </w:r>
            <w:r w:rsidRPr="002203A1">
              <w:rPr>
                <w:rFonts w:cs="Tahoma"/>
                <w:szCs w:val="20"/>
              </w:rPr>
              <w:br/>
              <w:t>• «1С:Эксперт по технологическим вопросам»– не менее 1.</w:t>
            </w:r>
          </w:p>
        </w:tc>
      </w:tr>
      <w:tr w:rsidR="002203A1" w:rsidRPr="002203A1" w14:paraId="57DE13F5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141D" w14:textId="77777777" w:rsidR="002203A1" w:rsidRPr="002203A1" w:rsidRDefault="002203A1" w:rsidP="002203A1">
            <w:pPr>
              <w:rPr>
                <w:rFonts w:cs="Tahoma"/>
                <w:b/>
                <w:szCs w:val="20"/>
                <w:lang w:val="en-US"/>
              </w:rPr>
            </w:pPr>
            <w:r>
              <w:rPr>
                <w:rFonts w:cs="Tahoma"/>
                <w:b/>
                <w:szCs w:val="20"/>
              </w:rPr>
              <w:t>1.2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6D15" w14:textId="77777777" w:rsidR="002203A1" w:rsidRPr="002203A1" w:rsidRDefault="002203A1" w:rsidP="002203A1">
            <w:pPr>
              <w:spacing w:before="120" w:after="120"/>
              <w:rPr>
                <w:rFonts w:cs="Tahoma"/>
                <w:b/>
                <w:szCs w:val="20"/>
                <w:lang w:val="en-US"/>
              </w:rPr>
            </w:pPr>
            <w:r>
              <w:rPr>
                <w:rFonts w:cs="Tahoma"/>
                <w:b/>
                <w:szCs w:val="20"/>
              </w:rPr>
              <w:t>Статус оферты участника закупки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A296" w14:textId="77777777" w:rsidR="002203A1" w:rsidRPr="002203A1" w:rsidRDefault="002203A1" w:rsidP="002203A1">
            <w:pPr>
              <w:spacing w:before="120" w:after="120"/>
              <w:rPr>
                <w:rFonts w:cs="Tahoma"/>
                <w:szCs w:val="20"/>
                <w:lang w:val="en-US"/>
              </w:rPr>
            </w:pPr>
          </w:p>
        </w:tc>
      </w:tr>
      <w:tr w:rsidR="002203A1" w:rsidRPr="002203A1" w14:paraId="11571328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7212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1.2.1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1519" w14:textId="77777777" w:rsidR="002203A1" w:rsidRPr="002203A1" w:rsidRDefault="002203A1" w:rsidP="002203A1">
            <w:pPr>
              <w:spacing w:before="120" w:after="120"/>
              <w:rPr>
                <w:rFonts w:cs="Tahoma"/>
                <w:szCs w:val="20"/>
                <w:lang w:val="en-US"/>
              </w:rPr>
            </w:pPr>
            <w:r w:rsidRPr="002203A1">
              <w:rPr>
                <w:rFonts w:cs="Tahoma"/>
                <w:szCs w:val="20"/>
              </w:rPr>
              <w:t>Правомочие лица, подписавшего оферту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43F6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Документы (копии, заверенные участником), подтверждающие полномочия лица, подписавшего оферту</w:t>
            </w:r>
          </w:p>
        </w:tc>
      </w:tr>
      <w:tr w:rsidR="002203A1" w:rsidRPr="002203A1" w14:paraId="5DB5C152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9064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1.2.2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2245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Соответствие оферты требованиям закупочной документации (в том числе Приложения №1 Технического задания)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9805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</w:p>
        </w:tc>
      </w:tr>
      <w:tr w:rsidR="002203A1" w:rsidRPr="002203A1" w14:paraId="6D27AA8F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47E6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1.2.2.1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059D" w14:textId="77777777" w:rsidR="002203A1" w:rsidRPr="002203A1" w:rsidRDefault="002203A1" w:rsidP="002203A1">
            <w:pPr>
              <w:spacing w:before="120" w:after="120"/>
              <w:rPr>
                <w:rFonts w:cs="Tahoma"/>
                <w:szCs w:val="20"/>
                <w:lang w:val="en-US"/>
              </w:rPr>
            </w:pPr>
            <w:r w:rsidRPr="002203A1">
              <w:rPr>
                <w:rFonts w:cs="Tahoma"/>
                <w:szCs w:val="20"/>
              </w:rPr>
              <w:t>срок действия оферты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47AE" w14:textId="77777777" w:rsidR="002203A1" w:rsidRPr="002203A1" w:rsidRDefault="002203A1" w:rsidP="002203A1">
            <w:pPr>
              <w:spacing w:before="120" w:after="120"/>
              <w:rPr>
                <w:rFonts w:cs="Tahoma"/>
                <w:szCs w:val="20"/>
                <w:lang w:val="en-US"/>
              </w:rPr>
            </w:pPr>
            <w:r w:rsidRPr="002203A1">
              <w:rPr>
                <w:rFonts w:cs="Tahoma"/>
                <w:szCs w:val="20"/>
              </w:rPr>
              <w:t>срок действия оферты</w:t>
            </w:r>
          </w:p>
        </w:tc>
      </w:tr>
      <w:tr w:rsidR="002203A1" w:rsidRPr="002203A1" w14:paraId="2C6431AD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3AD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1.2.2.2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33E9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содержание оферты в части номенклатуры МТР, вида (перечня) работ или услуг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5718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содержание оферты в части номенклатуры МТР, вида (перечня) работ или услуг</w:t>
            </w:r>
          </w:p>
        </w:tc>
      </w:tr>
      <w:tr w:rsidR="002203A1" w:rsidRPr="002203A1" w14:paraId="7EF9B980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7A5D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1.2.2.3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0453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содержание оферты в части срока поставки товаров, выполнения работ, оказания услуг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A304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содержание оферты в части срока поставки товаров, выполнения работ, оказания услуг</w:t>
            </w:r>
          </w:p>
        </w:tc>
      </w:tr>
      <w:tr w:rsidR="002203A1" w:rsidRPr="002203A1" w14:paraId="645DB4B9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56AA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1.2.2.4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98A4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содержание оферты в части объема поставки, работ, услуг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A019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содержание оферты в части объема поставки, работ, услуг</w:t>
            </w:r>
          </w:p>
        </w:tc>
      </w:tr>
      <w:tr w:rsidR="002203A1" w:rsidRPr="002203A1" w14:paraId="0692FE95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0EA5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1.2.2.5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D04B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содержание оферты в части гарантий качества МТР, работ и услуг, представленных Участником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ACEE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содержание оферты в части гарантий качества МТР, работ и услуг, представленных Участником</w:t>
            </w:r>
          </w:p>
        </w:tc>
      </w:tr>
      <w:tr w:rsidR="002203A1" w:rsidRPr="002203A1" w14:paraId="73232F12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3E9E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1.2.2.6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1ED8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Соответствие заявки по своему составу и (или) оформлению требованиям документации о закупке (в том числе не превышение НМЦ)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3070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Информация и документы заявки (в том числе отсутствие разногласий к исходному проекту договора)</w:t>
            </w:r>
          </w:p>
        </w:tc>
      </w:tr>
      <w:tr w:rsidR="002203A1" w:rsidRPr="002203A1" w14:paraId="4471B164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C572" w14:textId="77777777" w:rsidR="002203A1" w:rsidRPr="002203A1" w:rsidRDefault="002203A1" w:rsidP="002203A1">
            <w:pPr>
              <w:rPr>
                <w:rFonts w:cs="Tahoma"/>
                <w:b/>
                <w:szCs w:val="20"/>
                <w:lang w:val="en-US"/>
              </w:rPr>
            </w:pPr>
            <w:r>
              <w:rPr>
                <w:rFonts w:cs="Tahoma"/>
                <w:b/>
                <w:szCs w:val="20"/>
              </w:rPr>
              <w:lastRenderedPageBreak/>
              <w:t>1.3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5C4A" w14:textId="77777777" w:rsidR="002203A1" w:rsidRPr="00E55F25" w:rsidRDefault="002203A1" w:rsidP="002203A1">
            <w:pPr>
              <w:spacing w:before="120" w:after="120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Требования к статусу коллективного участника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4D5C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</w:p>
        </w:tc>
      </w:tr>
      <w:tr w:rsidR="002203A1" w:rsidRPr="002203A1" w14:paraId="794D64A7" w14:textId="77777777" w:rsidTr="00E55F25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239E" w14:textId="77777777" w:rsidR="002203A1" w:rsidRPr="002203A1" w:rsidRDefault="002203A1" w:rsidP="002203A1">
            <w:pPr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1.3.1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3984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Соответствие участника требованиям к коллективному участнику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63FA" w14:textId="77777777" w:rsidR="002203A1" w:rsidRPr="00E55F25" w:rsidRDefault="002203A1" w:rsidP="002203A1">
            <w:pPr>
              <w:spacing w:before="120" w:after="120"/>
              <w:rPr>
                <w:rFonts w:cs="Tahoma"/>
                <w:szCs w:val="20"/>
              </w:rPr>
            </w:pPr>
            <w:r w:rsidRPr="002203A1">
              <w:rPr>
                <w:rFonts w:cs="Tahoma"/>
                <w:szCs w:val="20"/>
              </w:rPr>
              <w:t>Документы, представленные участником закупки в соответствии с требованиями раздела «Участие коллективных участников» закупочной документации (соглашения между организациями, составляющими коллективного участника; сведения о распределении объемов выполнения работ, оказания услуг между организациями, составляющими коллективного участника)</w:t>
            </w:r>
          </w:p>
        </w:tc>
      </w:tr>
    </w:tbl>
    <w:p w14:paraId="787BCABE" w14:textId="77777777" w:rsidR="002203A1" w:rsidRPr="00E55F25" w:rsidRDefault="002203A1">
      <w:pPr>
        <w:spacing w:after="160" w:line="259" w:lineRule="auto"/>
      </w:pPr>
      <w:r w:rsidRPr="00E55F25">
        <w:br w:type="page"/>
      </w:r>
    </w:p>
    <w:p w14:paraId="223E9D4D" w14:textId="7467B3F5" w:rsidR="002203A1" w:rsidRDefault="002203A1" w:rsidP="002203A1">
      <w:pPr>
        <w:pStyle w:val="a6"/>
        <w:numPr>
          <w:ilvl w:val="0"/>
          <w:numId w:val="1"/>
        </w:numPr>
        <w:spacing w:after="0" w:line="276" w:lineRule="auto"/>
        <w:jc w:val="left"/>
        <w:rPr>
          <w:b/>
        </w:rPr>
      </w:pPr>
      <w:r w:rsidRPr="002203A1">
        <w:rPr>
          <w:b/>
        </w:rPr>
        <w:lastRenderedPageBreak/>
        <w:t>Критерии о</w:t>
      </w:r>
      <w:r>
        <w:rPr>
          <w:b/>
        </w:rPr>
        <w:t>ценки</w:t>
      </w:r>
      <w:r w:rsidRPr="002203A1">
        <w:rPr>
          <w:b/>
        </w:rPr>
        <w:t xml:space="preserve"> </w:t>
      </w:r>
      <w:r>
        <w:rPr>
          <w:b/>
        </w:rPr>
        <w:t>и весовые коэффициенты</w:t>
      </w:r>
    </w:p>
    <w:p w14:paraId="496FAFD2" w14:textId="77777777" w:rsidR="00E55F25" w:rsidRPr="002203A1" w:rsidRDefault="00E55F25" w:rsidP="00E55F25">
      <w:pPr>
        <w:pStyle w:val="a6"/>
        <w:spacing w:after="0" w:line="276" w:lineRule="auto"/>
        <w:ind w:left="1440" w:firstLine="0"/>
        <w:jc w:val="left"/>
        <w:rPr>
          <w:b/>
        </w:rPr>
      </w:pPr>
    </w:p>
    <w:tbl>
      <w:tblPr>
        <w:tblW w:w="82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4111"/>
        <w:gridCol w:w="2835"/>
      </w:tblGrid>
      <w:tr w:rsidR="00E55F25" w:rsidRPr="002203A1" w14:paraId="6586B47D" w14:textId="77777777" w:rsidTr="00E55F25">
        <w:trPr>
          <w:trHeight w:val="390"/>
        </w:trPr>
        <w:tc>
          <w:tcPr>
            <w:tcW w:w="1277" w:type="dxa"/>
            <w:shd w:val="clear" w:color="auto" w:fill="auto"/>
            <w:vAlign w:val="center"/>
          </w:tcPr>
          <w:p w14:paraId="5C45200E" w14:textId="28A6D0C0" w:rsidR="00E55F25" w:rsidRPr="002203A1" w:rsidRDefault="00E55F25" w:rsidP="00E55F25">
            <w:pPr>
              <w:spacing w:line="276" w:lineRule="auto"/>
              <w:jc w:val="center"/>
            </w:pPr>
            <w:r w:rsidRPr="002203A1">
              <w:t>№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4956712" w14:textId="64E4D963" w:rsidR="00E55F25" w:rsidRPr="002203A1" w:rsidRDefault="00E55F25" w:rsidP="00E55F25">
            <w:pPr>
              <w:spacing w:line="276" w:lineRule="auto"/>
              <w:jc w:val="center"/>
            </w:pPr>
            <w:r w:rsidRPr="002203A1">
              <w:t>Критерий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5F1C68" w14:textId="73F4CFA0" w:rsidR="00E55F25" w:rsidRPr="002203A1" w:rsidRDefault="00E55F25" w:rsidP="00E55F25">
            <w:pPr>
              <w:spacing w:line="276" w:lineRule="auto"/>
              <w:jc w:val="center"/>
            </w:pPr>
            <w:r w:rsidRPr="002203A1">
              <w:t>Весовой коэффициент критерия</w:t>
            </w:r>
          </w:p>
        </w:tc>
      </w:tr>
      <w:tr w:rsidR="00E55F25" w:rsidRPr="002203A1" w14:paraId="7496ED00" w14:textId="77777777" w:rsidTr="00E55F25">
        <w:trPr>
          <w:trHeight w:val="210"/>
        </w:trPr>
        <w:tc>
          <w:tcPr>
            <w:tcW w:w="1277" w:type="dxa"/>
            <w:shd w:val="clear" w:color="auto" w:fill="auto"/>
          </w:tcPr>
          <w:p w14:paraId="3B7EC30E" w14:textId="3BBC7A5A" w:rsidR="00E55F25" w:rsidRPr="002203A1" w:rsidRDefault="00E55F25" w:rsidP="002203A1">
            <w:pPr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090DB0E7" w14:textId="575393DB" w:rsidR="00E55F25" w:rsidRPr="002203A1" w:rsidRDefault="00E55F25" w:rsidP="002203A1">
            <w:pPr>
              <w:spacing w:line="276" w:lineRule="auto"/>
              <w:rPr>
                <w:b/>
                <w:lang w:val="en-US"/>
              </w:rPr>
            </w:pPr>
            <w:r w:rsidRPr="002203A1">
              <w:rPr>
                <w:rFonts w:cs="Tahoma"/>
                <w:b/>
                <w:szCs w:val="20"/>
              </w:rPr>
              <w:t>Стоимость предложения</w:t>
            </w:r>
          </w:p>
        </w:tc>
        <w:tc>
          <w:tcPr>
            <w:tcW w:w="2835" w:type="dxa"/>
            <w:shd w:val="clear" w:color="auto" w:fill="auto"/>
          </w:tcPr>
          <w:p w14:paraId="05F9B195" w14:textId="42D6EF0A" w:rsidR="00E55F25" w:rsidRPr="002203A1" w:rsidRDefault="00E55F25" w:rsidP="002203A1">
            <w:pPr>
              <w:spacing w:line="276" w:lineRule="auto"/>
            </w:pPr>
            <w:r>
              <w:t>0,8</w:t>
            </w:r>
          </w:p>
        </w:tc>
      </w:tr>
      <w:tr w:rsidR="00E55F25" w:rsidRPr="002203A1" w14:paraId="327FEB79" w14:textId="77777777" w:rsidTr="00E55F25">
        <w:trPr>
          <w:trHeight w:val="210"/>
        </w:trPr>
        <w:tc>
          <w:tcPr>
            <w:tcW w:w="1277" w:type="dxa"/>
            <w:shd w:val="clear" w:color="auto" w:fill="auto"/>
          </w:tcPr>
          <w:p w14:paraId="291B5E2B" w14:textId="6DE0B452" w:rsidR="00E55F25" w:rsidRPr="002203A1" w:rsidRDefault="00E55F25" w:rsidP="002203A1">
            <w:pPr>
              <w:spacing w:line="276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19F86912" w14:textId="7EEC0CD3" w:rsidR="00E55F25" w:rsidRPr="00B219F9" w:rsidRDefault="00B219F9" w:rsidP="002203A1">
            <w:pPr>
              <w:spacing w:line="276" w:lineRule="auto"/>
              <w:rPr>
                <w:b/>
              </w:rPr>
            </w:pPr>
            <w:r w:rsidRPr="00B219F9">
              <w:rPr>
                <w:rFonts w:cs="Tahoma"/>
                <w:b/>
                <w:szCs w:val="20"/>
                <w:lang w:eastAsia="en-US"/>
              </w:rPr>
              <w:t xml:space="preserve">Наличие у Участника опыта оказания </w:t>
            </w:r>
            <w:r w:rsidRPr="00B219F9">
              <w:rPr>
                <w:rFonts w:cs="Tahoma"/>
                <w:b/>
                <w:szCs w:val="20"/>
              </w:rPr>
              <w:t>аналогичных</w:t>
            </w:r>
            <w:r w:rsidRPr="00B219F9">
              <w:rPr>
                <w:rFonts w:cs="Tahoma"/>
                <w:b/>
                <w:szCs w:val="20"/>
                <w:vertAlign w:val="superscript"/>
              </w:rPr>
              <w:footnoteReference w:id="1"/>
            </w:r>
            <w:r w:rsidRPr="00B219F9">
              <w:rPr>
                <w:rFonts w:cs="Tahoma"/>
                <w:b/>
                <w:szCs w:val="20"/>
                <w:lang w:eastAsia="en-US"/>
              </w:rPr>
              <w:t xml:space="preserve"> услуг за последние 3 (три) года</w:t>
            </w:r>
          </w:p>
        </w:tc>
        <w:tc>
          <w:tcPr>
            <w:tcW w:w="2835" w:type="dxa"/>
            <w:shd w:val="clear" w:color="auto" w:fill="auto"/>
          </w:tcPr>
          <w:p w14:paraId="0B8A8C33" w14:textId="77777777" w:rsidR="00E55F25" w:rsidRPr="002203A1" w:rsidRDefault="00E55F25" w:rsidP="002203A1">
            <w:pPr>
              <w:spacing w:line="276" w:lineRule="auto"/>
            </w:pPr>
            <w:r>
              <w:t>0,2</w:t>
            </w:r>
          </w:p>
        </w:tc>
      </w:tr>
    </w:tbl>
    <w:p w14:paraId="7DE64A61" w14:textId="77777777" w:rsidR="002203A1" w:rsidRDefault="002203A1" w:rsidP="002203A1">
      <w:pPr>
        <w:ind w:left="-993"/>
        <w:rPr>
          <w:lang w:val="en-US"/>
        </w:rPr>
      </w:pPr>
    </w:p>
    <w:p w14:paraId="558EA92C" w14:textId="2A5AC1E9" w:rsidR="002203A1" w:rsidRDefault="002203A1" w:rsidP="002203A1">
      <w:pPr>
        <w:pStyle w:val="aa"/>
        <w:rPr>
          <w:sz w:val="16"/>
          <w:szCs w:val="16"/>
        </w:rPr>
      </w:pPr>
    </w:p>
    <w:p w14:paraId="54EDB5D7" w14:textId="77777777" w:rsidR="002203A1" w:rsidRPr="002203A1" w:rsidRDefault="002203A1" w:rsidP="002203A1">
      <w:pPr>
        <w:ind w:firstLine="708"/>
        <w:jc w:val="both"/>
        <w:rPr>
          <w:rFonts w:cs="Tahoma"/>
          <w:szCs w:val="20"/>
          <w:lang w:eastAsia="x-none"/>
        </w:rPr>
      </w:pPr>
      <w:r w:rsidRPr="002203A1">
        <w:rPr>
          <w:rFonts w:cs="Tahoma"/>
          <w:szCs w:val="20"/>
          <w:lang w:eastAsia="en-US"/>
        </w:rPr>
        <w:t xml:space="preserve">При оценке </w:t>
      </w:r>
      <w:r w:rsidRPr="002203A1">
        <w:rPr>
          <w:rFonts w:cs="Tahoma"/>
          <w:szCs w:val="20"/>
          <w:lang w:eastAsia="x-none"/>
        </w:rPr>
        <w:t>заявок</w:t>
      </w:r>
      <w:r w:rsidRPr="002203A1">
        <w:rPr>
          <w:rFonts w:cs="Tahoma"/>
          <w:szCs w:val="20"/>
          <w:lang w:eastAsia="en-US"/>
        </w:rPr>
        <w:t xml:space="preserve"> </w:t>
      </w:r>
      <w:r w:rsidRPr="002203A1">
        <w:rPr>
          <w:rFonts w:cs="Tahoma"/>
          <w:szCs w:val="20"/>
          <w:lang w:eastAsia="x-none"/>
        </w:rPr>
        <w:t>У</w:t>
      </w:r>
      <w:r w:rsidRPr="002203A1">
        <w:rPr>
          <w:rFonts w:cs="Tahoma"/>
          <w:szCs w:val="20"/>
          <w:lang w:eastAsia="en-US"/>
        </w:rPr>
        <w:t xml:space="preserve">частников используется </w:t>
      </w:r>
      <w:proofErr w:type="spellStart"/>
      <w:r w:rsidRPr="002203A1">
        <w:rPr>
          <w:rFonts w:cs="Tahoma"/>
          <w:szCs w:val="20"/>
          <w:lang w:eastAsia="en-US"/>
        </w:rPr>
        <w:t>четырехбал</w:t>
      </w:r>
      <w:r w:rsidRPr="002203A1">
        <w:rPr>
          <w:rFonts w:cs="Tahoma"/>
          <w:szCs w:val="20"/>
          <w:lang w:eastAsia="x-none"/>
        </w:rPr>
        <w:t>л</w:t>
      </w:r>
      <w:r w:rsidRPr="002203A1">
        <w:rPr>
          <w:rFonts w:cs="Tahoma"/>
          <w:szCs w:val="20"/>
          <w:lang w:eastAsia="en-US"/>
        </w:rPr>
        <w:t>ьная</w:t>
      </w:r>
      <w:proofErr w:type="spellEnd"/>
      <w:r w:rsidRPr="002203A1">
        <w:rPr>
          <w:rFonts w:cs="Tahoma"/>
          <w:szCs w:val="20"/>
          <w:lang w:eastAsia="en-US"/>
        </w:rPr>
        <w:t xml:space="preserve"> </w:t>
      </w:r>
      <w:r w:rsidRPr="002203A1">
        <w:rPr>
          <w:rFonts w:cs="Tahoma"/>
          <w:szCs w:val="20"/>
          <w:lang w:eastAsia="x-none"/>
        </w:rPr>
        <w:t>шкала</w:t>
      </w:r>
      <w:r w:rsidRPr="002203A1">
        <w:rPr>
          <w:rFonts w:cs="Tahoma"/>
          <w:szCs w:val="20"/>
          <w:lang w:eastAsia="en-US"/>
        </w:rPr>
        <w:t>.</w:t>
      </w:r>
    </w:p>
    <w:p w14:paraId="3E65D4D1" w14:textId="77777777" w:rsidR="002203A1" w:rsidRPr="002203A1" w:rsidRDefault="002203A1" w:rsidP="002203A1">
      <w:pPr>
        <w:ind w:firstLine="708"/>
        <w:jc w:val="both"/>
        <w:rPr>
          <w:rFonts w:cs="Tahoma"/>
          <w:szCs w:val="20"/>
          <w:lang w:eastAsia="x-none"/>
        </w:rPr>
      </w:pPr>
    </w:p>
    <w:p w14:paraId="63A23C5A" w14:textId="7A071C5B" w:rsidR="002203A1" w:rsidRPr="002203A1" w:rsidRDefault="002203A1" w:rsidP="002203A1">
      <w:pPr>
        <w:ind w:firstLine="708"/>
        <w:jc w:val="both"/>
        <w:rPr>
          <w:rFonts w:cs="Tahoma"/>
          <w:b/>
          <w:szCs w:val="20"/>
          <w:lang w:eastAsia="x-none"/>
        </w:rPr>
      </w:pPr>
      <w:r w:rsidRPr="002203A1">
        <w:rPr>
          <w:rFonts w:cs="Tahoma"/>
          <w:szCs w:val="20"/>
          <w:lang w:eastAsia="x-none"/>
        </w:rPr>
        <w:t xml:space="preserve">Оценка по каждому критерию определяется </w:t>
      </w:r>
      <w:r w:rsidRPr="002203A1">
        <w:rPr>
          <w:rFonts w:cs="Tahoma"/>
          <w:szCs w:val="20"/>
          <w:lang w:eastAsia="en-US"/>
        </w:rPr>
        <w:t>путем произведен</w:t>
      </w:r>
      <w:r w:rsidRPr="002203A1">
        <w:rPr>
          <w:rFonts w:cs="Tahoma"/>
          <w:szCs w:val="20"/>
          <w:lang w:eastAsia="x-none"/>
        </w:rPr>
        <w:t>ия</w:t>
      </w:r>
      <w:r w:rsidRPr="002203A1">
        <w:rPr>
          <w:rFonts w:cs="Tahoma"/>
          <w:szCs w:val="20"/>
          <w:lang w:eastAsia="en-US"/>
        </w:rPr>
        <w:t xml:space="preserve"> </w:t>
      </w:r>
      <w:r w:rsidRPr="002203A1">
        <w:rPr>
          <w:rFonts w:cs="Tahoma"/>
          <w:szCs w:val="20"/>
          <w:lang w:eastAsia="x-none"/>
        </w:rPr>
        <w:t>выставленных</w:t>
      </w:r>
      <w:r w:rsidRPr="002203A1">
        <w:rPr>
          <w:rFonts w:cs="Tahoma"/>
          <w:szCs w:val="20"/>
          <w:lang w:eastAsia="en-US"/>
        </w:rPr>
        <w:t xml:space="preserve"> баллов и соответствующ</w:t>
      </w:r>
      <w:r w:rsidRPr="002203A1">
        <w:rPr>
          <w:rFonts w:cs="Tahoma"/>
          <w:szCs w:val="20"/>
          <w:lang w:eastAsia="x-none"/>
        </w:rPr>
        <w:t>их</w:t>
      </w:r>
      <w:r w:rsidRPr="002203A1">
        <w:rPr>
          <w:rFonts w:cs="Tahoma"/>
          <w:szCs w:val="20"/>
          <w:lang w:eastAsia="en-US"/>
        </w:rPr>
        <w:t xml:space="preserve"> весо</w:t>
      </w:r>
      <w:r w:rsidRPr="002203A1">
        <w:rPr>
          <w:rFonts w:cs="Tahoma"/>
          <w:szCs w:val="20"/>
          <w:lang w:eastAsia="x-none"/>
        </w:rPr>
        <w:t>вых</w:t>
      </w:r>
      <w:r w:rsidRPr="002203A1">
        <w:rPr>
          <w:rFonts w:cs="Tahoma"/>
          <w:szCs w:val="20"/>
          <w:lang w:eastAsia="en-US"/>
        </w:rPr>
        <w:t xml:space="preserve"> коэффициент</w:t>
      </w:r>
      <w:r w:rsidRPr="002203A1">
        <w:rPr>
          <w:rFonts w:cs="Tahoma"/>
          <w:szCs w:val="20"/>
          <w:lang w:eastAsia="x-none"/>
        </w:rPr>
        <w:t>ов</w:t>
      </w:r>
      <w:r w:rsidRPr="002203A1">
        <w:rPr>
          <w:rFonts w:cs="Tahoma"/>
          <w:szCs w:val="20"/>
          <w:lang w:eastAsia="en-US"/>
        </w:rPr>
        <w:t xml:space="preserve"> </w:t>
      </w:r>
      <w:r w:rsidRPr="002203A1">
        <w:rPr>
          <w:rFonts w:cs="Tahoma"/>
          <w:szCs w:val="20"/>
          <w:lang w:eastAsia="x-none"/>
        </w:rPr>
        <w:t xml:space="preserve">данного </w:t>
      </w:r>
      <w:r w:rsidRPr="002203A1">
        <w:rPr>
          <w:rFonts w:cs="Tahoma"/>
          <w:szCs w:val="20"/>
          <w:lang w:eastAsia="en-US"/>
        </w:rPr>
        <w:t>критерия</w:t>
      </w:r>
      <w:r w:rsidRPr="002203A1">
        <w:rPr>
          <w:rFonts w:cs="Tahoma"/>
          <w:szCs w:val="20"/>
          <w:lang w:eastAsia="x-none"/>
        </w:rPr>
        <w:t>. Итоговая оценка каждой заявки вычисляется путем суммирования полученных значений критериев.</w:t>
      </w:r>
    </w:p>
    <w:p w14:paraId="61F22E25" w14:textId="77777777" w:rsidR="002203A1" w:rsidRPr="002203A1" w:rsidRDefault="002203A1" w:rsidP="002203A1">
      <w:pPr>
        <w:jc w:val="both"/>
        <w:rPr>
          <w:rFonts w:cs="Tahoma"/>
          <w:b/>
          <w:sz w:val="12"/>
          <w:szCs w:val="12"/>
          <w:lang w:eastAsia="x-none"/>
        </w:rPr>
      </w:pPr>
    </w:p>
    <w:p w14:paraId="22E13F66" w14:textId="77D0BBDA" w:rsidR="002203A1" w:rsidRPr="002203A1" w:rsidRDefault="002203A1" w:rsidP="002203A1">
      <w:pPr>
        <w:ind w:firstLine="708"/>
        <w:jc w:val="both"/>
        <w:rPr>
          <w:rFonts w:cs="Tahoma"/>
          <w:szCs w:val="20"/>
          <w:lang w:eastAsia="x-none"/>
        </w:rPr>
      </w:pPr>
      <w:r w:rsidRPr="002203A1">
        <w:rPr>
          <w:rFonts w:cs="Tahoma"/>
          <w:szCs w:val="20"/>
          <w:lang w:eastAsia="x-none"/>
        </w:rPr>
        <w:t xml:space="preserve">По критерию «Стоимость </w:t>
      </w:r>
      <w:r>
        <w:rPr>
          <w:rFonts w:cs="Tahoma"/>
          <w:szCs w:val="20"/>
          <w:lang w:eastAsia="x-none"/>
        </w:rPr>
        <w:t>предложения</w:t>
      </w:r>
      <w:r w:rsidRPr="002203A1">
        <w:rPr>
          <w:rFonts w:cs="Tahoma"/>
          <w:szCs w:val="20"/>
          <w:lang w:eastAsia="x-none"/>
        </w:rPr>
        <w:t>» оценка производится в соответствии со следующей методикой:</w:t>
      </w:r>
    </w:p>
    <w:p w14:paraId="3649EC7E" w14:textId="77777777" w:rsidR="002203A1" w:rsidRPr="002203A1" w:rsidRDefault="002203A1" w:rsidP="002203A1">
      <w:pPr>
        <w:jc w:val="both"/>
        <w:rPr>
          <w:rFonts w:cs="Tahoma"/>
          <w:szCs w:val="20"/>
          <w:lang w:eastAsia="en-US"/>
        </w:rPr>
      </w:pPr>
    </w:p>
    <w:p w14:paraId="4D027FB4" w14:textId="5CB55DCF" w:rsidR="002203A1" w:rsidRPr="002203A1" w:rsidRDefault="002203A1" w:rsidP="002203A1">
      <w:pPr>
        <w:ind w:left="708" w:firstLine="709"/>
        <w:jc w:val="both"/>
        <w:rPr>
          <w:rFonts w:cs="Tahoma"/>
          <w:szCs w:val="20"/>
          <w:lang w:eastAsia="x-none"/>
        </w:rPr>
      </w:pPr>
      <w:r w:rsidRPr="002203A1">
        <w:rPr>
          <w:rFonts w:cs="Tahoma"/>
          <w:szCs w:val="16"/>
          <w:lang w:eastAsia="en-US"/>
        </w:rPr>
        <w:t>Стоимость предложения, учитываемая при ранжировании предложений участников,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(далее – ЦБ РФ).</w:t>
      </w:r>
    </w:p>
    <w:p w14:paraId="73EA05BD" w14:textId="77777777" w:rsidR="002203A1" w:rsidRPr="002203A1" w:rsidRDefault="002203A1" w:rsidP="002203A1">
      <w:pPr>
        <w:ind w:left="708" w:firstLine="709"/>
        <w:jc w:val="both"/>
        <w:rPr>
          <w:rFonts w:cs="Tahoma"/>
          <w:szCs w:val="20"/>
          <w:lang w:eastAsia="x-none"/>
        </w:rPr>
      </w:pPr>
    </w:p>
    <w:p w14:paraId="73EB0C55" w14:textId="77777777" w:rsidR="002203A1" w:rsidRPr="002203A1" w:rsidRDefault="002203A1" w:rsidP="002203A1">
      <w:pPr>
        <w:ind w:left="708" w:firstLine="709"/>
        <w:jc w:val="both"/>
        <w:rPr>
          <w:rFonts w:cs="Tahoma"/>
          <w:szCs w:val="20"/>
          <w:lang w:eastAsia="en-US"/>
        </w:rPr>
      </w:pPr>
      <w:r w:rsidRPr="002203A1">
        <w:rPr>
          <w:rFonts w:cs="Tahoma"/>
          <w:szCs w:val="20"/>
          <w:lang w:eastAsia="en-US"/>
        </w:rPr>
        <w:t>Дисконтирование производится по следующей формуле:</w:t>
      </w:r>
    </w:p>
    <w:p w14:paraId="1B450FA5" w14:textId="3BBCC55D" w:rsidR="002203A1" w:rsidRPr="002203A1" w:rsidRDefault="002203A1" w:rsidP="002203A1">
      <w:pPr>
        <w:tabs>
          <w:tab w:val="left" w:pos="708"/>
        </w:tabs>
        <w:autoSpaceDE w:val="0"/>
        <w:autoSpaceDN w:val="0"/>
        <w:spacing w:line="360" w:lineRule="auto"/>
        <w:ind w:left="708"/>
        <w:jc w:val="both"/>
        <w:rPr>
          <w:rFonts w:cs="Tahoma"/>
          <w:b/>
          <w:bCs/>
          <w:szCs w:val="20"/>
        </w:rPr>
      </w:pPr>
      <w:r w:rsidRPr="002203A1">
        <w:rPr>
          <w:rFonts w:ascii="Times New Roman" w:hAnsi="Times New Roman" w:cs="Tahoma"/>
          <w:noProof/>
          <w:position w:val="-38"/>
          <w:sz w:val="28"/>
          <w:szCs w:val="20"/>
        </w:rPr>
        <w:drawing>
          <wp:inline distT="0" distB="0" distL="0" distR="0" wp14:anchorId="4612A917" wp14:editId="734F13F0">
            <wp:extent cx="1571625" cy="4286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03A1">
        <w:rPr>
          <w:rFonts w:cs="Tahoma"/>
          <w:b/>
          <w:bCs/>
          <w:szCs w:val="20"/>
        </w:rPr>
        <w:t> </w:t>
      </w:r>
    </w:p>
    <w:p w14:paraId="4375DCAC" w14:textId="77777777" w:rsidR="002203A1" w:rsidRPr="002203A1" w:rsidRDefault="002203A1" w:rsidP="002203A1">
      <w:pPr>
        <w:tabs>
          <w:tab w:val="left" w:pos="708"/>
        </w:tabs>
        <w:autoSpaceDE w:val="0"/>
        <w:autoSpaceDN w:val="0"/>
        <w:spacing w:line="360" w:lineRule="auto"/>
        <w:ind w:left="708"/>
        <w:jc w:val="both"/>
        <w:rPr>
          <w:rFonts w:cs="Tahoma"/>
          <w:szCs w:val="20"/>
        </w:rPr>
      </w:pPr>
      <w:r w:rsidRPr="002203A1">
        <w:rPr>
          <w:rFonts w:cs="Tahoma"/>
          <w:szCs w:val="20"/>
        </w:rPr>
        <w:t>Где:</w:t>
      </w:r>
    </w:p>
    <w:p w14:paraId="1B9F8103" w14:textId="77777777" w:rsidR="002203A1" w:rsidRPr="002203A1" w:rsidRDefault="002203A1" w:rsidP="002203A1">
      <w:pPr>
        <w:tabs>
          <w:tab w:val="left" w:pos="708"/>
        </w:tabs>
        <w:autoSpaceDE w:val="0"/>
        <w:autoSpaceDN w:val="0"/>
        <w:ind w:left="708"/>
        <w:jc w:val="both"/>
        <w:rPr>
          <w:rFonts w:cs="Tahoma"/>
          <w:szCs w:val="20"/>
        </w:rPr>
      </w:pPr>
      <w:r w:rsidRPr="002203A1">
        <w:rPr>
          <w:rFonts w:cs="Tahoma"/>
          <w:szCs w:val="20"/>
        </w:rPr>
        <w:t>Стоимость – дисконтированная стоимость предложения без НДС;</w:t>
      </w:r>
    </w:p>
    <w:p w14:paraId="5125115A" w14:textId="77777777" w:rsidR="002203A1" w:rsidRPr="002203A1" w:rsidRDefault="002203A1" w:rsidP="002203A1">
      <w:pPr>
        <w:tabs>
          <w:tab w:val="left" w:pos="708"/>
        </w:tabs>
        <w:autoSpaceDE w:val="0"/>
        <w:autoSpaceDN w:val="0"/>
        <w:ind w:left="708"/>
        <w:jc w:val="both"/>
        <w:rPr>
          <w:rFonts w:cs="Tahoma"/>
          <w:szCs w:val="20"/>
        </w:rPr>
      </w:pPr>
      <w:r w:rsidRPr="002203A1">
        <w:rPr>
          <w:rFonts w:cs="Tahoma"/>
          <w:szCs w:val="20"/>
        </w:rPr>
        <w:t xml:space="preserve">n – </w:t>
      </w:r>
      <w:r w:rsidRPr="002203A1">
        <w:rPr>
          <w:rFonts w:cs="Tahoma"/>
        </w:rPr>
        <w:t>количество счетных месяцев/дней в коммерческом году (360 дней, если иное не установлено законом)</w:t>
      </w:r>
      <w:r w:rsidRPr="002203A1">
        <w:rPr>
          <w:rFonts w:cs="Tahoma"/>
          <w:szCs w:val="20"/>
        </w:rPr>
        <w:t>;</w:t>
      </w:r>
    </w:p>
    <w:p w14:paraId="16178B8E" w14:textId="77777777" w:rsidR="002203A1" w:rsidRPr="002203A1" w:rsidRDefault="002203A1" w:rsidP="002203A1">
      <w:pPr>
        <w:tabs>
          <w:tab w:val="left" w:pos="708"/>
        </w:tabs>
        <w:autoSpaceDE w:val="0"/>
        <w:autoSpaceDN w:val="0"/>
        <w:ind w:left="708"/>
        <w:jc w:val="both"/>
        <w:rPr>
          <w:rFonts w:cs="Tahoma"/>
          <w:szCs w:val="20"/>
        </w:rPr>
      </w:pPr>
      <w:r w:rsidRPr="002203A1">
        <w:rPr>
          <w:rFonts w:cs="Tahoma"/>
          <w:szCs w:val="20"/>
          <w:lang w:val="en-US"/>
        </w:rPr>
        <w:t>i</w:t>
      </w:r>
      <w:r w:rsidRPr="002203A1">
        <w:rPr>
          <w:rFonts w:cs="Tahoma"/>
          <w:szCs w:val="20"/>
        </w:rPr>
        <w:t xml:space="preserve"> - </w:t>
      </w:r>
      <w:proofErr w:type="gramStart"/>
      <w:r w:rsidRPr="002203A1">
        <w:rPr>
          <w:rFonts w:cs="Tahoma"/>
          <w:szCs w:val="20"/>
        </w:rPr>
        <w:t>счетный</w:t>
      </w:r>
      <w:proofErr w:type="gramEnd"/>
      <w:r w:rsidRPr="002203A1">
        <w:rPr>
          <w:rFonts w:cs="Tahoma"/>
          <w:szCs w:val="20"/>
        </w:rPr>
        <w:t xml:space="preserve"> месяц/день наступления единовременного платежа;</w:t>
      </w:r>
    </w:p>
    <w:p w14:paraId="2051829B" w14:textId="77777777" w:rsidR="002203A1" w:rsidRPr="002203A1" w:rsidRDefault="002203A1" w:rsidP="002203A1">
      <w:pPr>
        <w:tabs>
          <w:tab w:val="left" w:pos="708"/>
        </w:tabs>
        <w:autoSpaceDE w:val="0"/>
        <w:autoSpaceDN w:val="0"/>
        <w:ind w:left="708"/>
        <w:jc w:val="both"/>
        <w:rPr>
          <w:rFonts w:cs="Tahoma"/>
          <w:szCs w:val="20"/>
        </w:rPr>
      </w:pPr>
      <w:r w:rsidRPr="002203A1">
        <w:rPr>
          <w:rFonts w:cs="Tahoma"/>
          <w:szCs w:val="20"/>
          <w:lang w:val="en-US"/>
        </w:rPr>
        <w:t>i</w:t>
      </w:r>
      <w:r w:rsidRPr="002203A1">
        <w:rPr>
          <w:rFonts w:cs="Tahoma"/>
          <w:szCs w:val="20"/>
        </w:rPr>
        <w:t xml:space="preserve"> - </w:t>
      </w:r>
      <w:proofErr w:type="gramStart"/>
      <w:r w:rsidRPr="002203A1">
        <w:rPr>
          <w:rFonts w:cs="Tahoma"/>
          <w:szCs w:val="20"/>
        </w:rPr>
        <w:t>счетный</w:t>
      </w:r>
      <w:proofErr w:type="gramEnd"/>
      <w:r w:rsidRPr="002203A1">
        <w:rPr>
          <w:rFonts w:cs="Tahoma"/>
          <w:szCs w:val="20"/>
        </w:rPr>
        <w:t xml:space="preserve"> месяц/день наступления авансового платежа = 0 </w:t>
      </w:r>
    </w:p>
    <w:p w14:paraId="720C3ABD" w14:textId="77777777" w:rsidR="002203A1" w:rsidRPr="002203A1" w:rsidRDefault="002203A1" w:rsidP="002203A1">
      <w:pPr>
        <w:tabs>
          <w:tab w:val="left" w:pos="708"/>
        </w:tabs>
        <w:autoSpaceDE w:val="0"/>
        <w:autoSpaceDN w:val="0"/>
        <w:ind w:left="708"/>
        <w:jc w:val="both"/>
        <w:rPr>
          <w:rFonts w:cs="Tahoma"/>
          <w:szCs w:val="20"/>
        </w:rPr>
      </w:pPr>
      <w:proofErr w:type="spellStart"/>
      <w:r w:rsidRPr="002203A1">
        <w:rPr>
          <w:rFonts w:cs="Tahoma"/>
          <w:szCs w:val="20"/>
        </w:rPr>
        <w:t>Платеж</w:t>
      </w:r>
      <w:r w:rsidRPr="002203A1">
        <w:rPr>
          <w:rFonts w:cs="Tahoma"/>
          <w:szCs w:val="20"/>
          <w:vertAlign w:val="subscript"/>
        </w:rPr>
        <w:t>i</w:t>
      </w:r>
      <w:proofErr w:type="spellEnd"/>
      <w:r w:rsidRPr="002203A1">
        <w:rPr>
          <w:rFonts w:cs="Tahoma"/>
          <w:szCs w:val="20"/>
        </w:rPr>
        <w:t xml:space="preserve"> – стоимость предложения (i - не применяется) без НДС;</w:t>
      </w:r>
    </w:p>
    <w:p w14:paraId="5A365AF8" w14:textId="77777777" w:rsidR="002203A1" w:rsidRPr="002203A1" w:rsidRDefault="002203A1" w:rsidP="002203A1">
      <w:pPr>
        <w:spacing w:after="200" w:line="276" w:lineRule="auto"/>
        <w:ind w:left="708"/>
        <w:contextualSpacing/>
        <w:rPr>
          <w:rFonts w:cs="Tahoma"/>
          <w:szCs w:val="20"/>
        </w:rPr>
      </w:pPr>
      <w:r w:rsidRPr="002203A1">
        <w:rPr>
          <w:rFonts w:cs="Tahoma"/>
        </w:rPr>
        <w:t>Ставка – ключевая ставка ЦБ РФ (согласно данным официального сайта ЦБ РФ https://cbr.ru/), действующая на день размещения извещения о закупке в Единой информационной системе в сфере закупок. Применяется в расчете оценки на всех этапах проведения закупочной процедуры, в том числе при проведении процедур переторжки</w:t>
      </w:r>
    </w:p>
    <w:p w14:paraId="724CD51A" w14:textId="77777777" w:rsidR="002203A1" w:rsidRPr="002203A1" w:rsidRDefault="002203A1" w:rsidP="002203A1">
      <w:pPr>
        <w:spacing w:after="200" w:line="276" w:lineRule="auto"/>
        <w:ind w:left="708"/>
        <w:contextualSpacing/>
        <w:rPr>
          <w:rFonts w:cs="Tahoma"/>
          <w:szCs w:val="20"/>
        </w:rPr>
      </w:pPr>
      <w:r w:rsidRPr="002203A1">
        <w:rPr>
          <w:rFonts w:cs="Tahoma"/>
          <w:szCs w:val="20"/>
        </w:rPr>
        <w:t>n</w:t>
      </w:r>
      <w:r w:rsidRPr="002203A1">
        <w:rPr>
          <w:rFonts w:cs="Tahoma"/>
          <w:szCs w:val="20"/>
          <w:lang w:val="en-US"/>
        </w:rPr>
        <w:t>i</w:t>
      </w:r>
      <w:r w:rsidRPr="002203A1">
        <w:rPr>
          <w:rFonts w:cs="Tahoma"/>
          <w:szCs w:val="20"/>
        </w:rPr>
        <w:t xml:space="preserve"> – количество счетных месяцев/дней в году</w:t>
      </w:r>
    </w:p>
    <w:p w14:paraId="1EF36D4D" w14:textId="77777777" w:rsidR="002203A1" w:rsidRDefault="002203A1" w:rsidP="002203A1">
      <w:pPr>
        <w:tabs>
          <w:tab w:val="left" w:pos="708"/>
          <w:tab w:val="num" w:pos="1134"/>
        </w:tabs>
        <w:snapToGrid w:val="0"/>
        <w:jc w:val="both"/>
        <w:rPr>
          <w:rFonts w:cs="Tahoma"/>
          <w:snapToGrid w:val="0"/>
          <w:szCs w:val="20"/>
          <w:lang w:eastAsia="ja-JP"/>
        </w:rPr>
      </w:pPr>
    </w:p>
    <w:p w14:paraId="08982DB3" w14:textId="2BBD79B9" w:rsidR="002203A1" w:rsidRPr="002203A1" w:rsidRDefault="002203A1" w:rsidP="002203A1">
      <w:pPr>
        <w:tabs>
          <w:tab w:val="left" w:pos="708"/>
          <w:tab w:val="num" w:pos="1134"/>
        </w:tabs>
        <w:snapToGrid w:val="0"/>
        <w:jc w:val="both"/>
        <w:rPr>
          <w:rFonts w:cs="Tahoma"/>
          <w:snapToGrid w:val="0"/>
          <w:szCs w:val="20"/>
          <w:lang w:eastAsia="ja-JP"/>
        </w:rPr>
      </w:pPr>
      <w:r w:rsidRPr="002203A1">
        <w:rPr>
          <w:rFonts w:cs="Tahoma"/>
          <w:snapToGrid w:val="0"/>
          <w:szCs w:val="20"/>
          <w:lang w:eastAsia="ja-JP"/>
        </w:rPr>
        <w:t xml:space="preserve">При использовании </w:t>
      </w:r>
      <w:r w:rsidRPr="002203A1">
        <w:rPr>
          <w:rFonts w:cs="Tahoma"/>
          <w:snapToGrid w:val="0"/>
          <w:szCs w:val="20"/>
          <w:u w:val="single"/>
          <w:lang w:eastAsia="ja-JP"/>
        </w:rPr>
        <w:t>методики с максимальной отсрочкой платежа</w:t>
      </w:r>
      <w:r w:rsidRPr="002203A1">
        <w:rPr>
          <w:rFonts w:cs="Tahoma"/>
          <w:snapToGrid w:val="0"/>
          <w:szCs w:val="20"/>
          <w:lang w:eastAsia="ja-JP"/>
        </w:rPr>
        <w:t xml:space="preserve"> в условиях оплаты дисконтирование производится по следующей формуле:</w:t>
      </w:r>
    </w:p>
    <w:p w14:paraId="511DEB31" w14:textId="77777777" w:rsidR="002203A1" w:rsidRPr="002203A1" w:rsidRDefault="002203A1" w:rsidP="002203A1">
      <w:pPr>
        <w:tabs>
          <w:tab w:val="left" w:pos="708"/>
          <w:tab w:val="num" w:pos="1134"/>
        </w:tabs>
        <w:snapToGrid w:val="0"/>
        <w:jc w:val="both"/>
        <w:rPr>
          <w:rFonts w:cs="Tahoma"/>
          <w:snapToGrid w:val="0"/>
          <w:szCs w:val="20"/>
          <w:lang w:eastAsia="ja-JP"/>
        </w:rPr>
      </w:pPr>
    </w:p>
    <w:p w14:paraId="03D4955D" w14:textId="77777777" w:rsidR="002203A1" w:rsidRPr="002203A1" w:rsidRDefault="002203A1" w:rsidP="002203A1">
      <w:pPr>
        <w:tabs>
          <w:tab w:val="left" w:pos="708"/>
          <w:tab w:val="num" w:pos="1134"/>
        </w:tabs>
        <w:snapToGrid w:val="0"/>
        <w:jc w:val="both"/>
        <w:rPr>
          <w:rFonts w:cs="Tahoma"/>
          <w:snapToGrid w:val="0"/>
          <w:szCs w:val="20"/>
          <w:lang w:eastAsia="ja-JP"/>
        </w:rPr>
      </w:pPr>
      <m:oMath>
        <m:r>
          <m:rPr>
            <m:sty m:val="p"/>
          </m:rPr>
          <w:rPr>
            <w:rFonts w:ascii="Cambria Math" w:cs="Tahoma"/>
            <w:snapToGrid w:val="0"/>
            <w:szCs w:val="20"/>
            <w:lang w:eastAsia="ja-JP"/>
          </w:rPr>
          <m:t>Стоимость</m:t>
        </m:r>
        <m:r>
          <m:rPr>
            <m:sty m:val="p"/>
          </m:rPr>
          <w:rPr>
            <w:rFonts w:ascii="Cambria Math" w:cs="Tahoma"/>
            <w:snapToGrid w:val="0"/>
            <w:szCs w:val="20"/>
            <w:lang w:eastAsia="ja-JP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snapToGrid w:val="0"/>
                <w:lang w:eastAsia="ja-JP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ahoma"/>
                <w:snapToGrid w:val="0"/>
                <w:szCs w:val="20"/>
                <w:lang w:eastAsia="ja-JP"/>
              </w:rPr>
              <m:t>i</m:t>
            </m:r>
            <m:r>
              <m:rPr>
                <m:sty m:val="p"/>
              </m:rPr>
              <w:rPr>
                <w:rFonts w:ascii="Cambria Math" w:cs="Tahoma"/>
                <w:snapToGrid w:val="0"/>
                <w:szCs w:val="20"/>
                <w:lang w:eastAsia="ja-JP"/>
              </w:rPr>
              <m:t>=</m:t>
            </m:r>
            <m:r>
              <m:rPr>
                <m:sty m:val="p"/>
              </m:rPr>
              <w:rPr>
                <w:rFonts w:ascii="Cambria Math" w:hAnsi="Cambria Math" w:cs="Tahoma"/>
                <w:snapToGrid w:val="0"/>
                <w:szCs w:val="20"/>
                <w:lang w:eastAsia="ja-JP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  <w:snapToGrid w:val="0"/>
                <w:szCs w:val="20"/>
                <w:lang w:eastAsia="ja-JP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snapToGrid w:val="0"/>
                    <w:lang w:eastAsia="ja-JP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napToGrid w:val="0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cs="Tahoma"/>
                        <w:snapToGrid w:val="0"/>
                        <w:szCs w:val="20"/>
                        <w:lang w:eastAsia="ja-JP"/>
                      </w:rPr>
                      <m:t>Платеж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napToGrid w:val="0"/>
                        <w:szCs w:val="20"/>
                        <w:lang w:eastAsia="ja-JP"/>
                      </w:rPr>
                      <m:t>i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  <w:snapToGrid w:val="0"/>
                        <w:lang w:eastAsia="ja-JP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snapToGrid w:val="0"/>
                            <w:lang w:eastAsia="ja-JP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ahoma"/>
                            <w:snapToGrid w:val="0"/>
                            <w:szCs w:val="20"/>
                            <w:lang w:eastAsia="ja-JP"/>
                          </w:rPr>
                          <m:t>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cs="Tahoma"/>
                            <w:snapToGrid w:val="0"/>
                            <w:szCs w:val="20"/>
                            <w:lang w:eastAsia="ja-JP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napToGrid w:val="0"/>
                                <w:lang w:eastAsia="ja-JP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cs="Tahoma"/>
                                <w:snapToGrid w:val="0"/>
                                <w:szCs w:val="20"/>
                                <w:lang w:eastAsia="ja-JP"/>
                              </w:rPr>
                              <m:t>Ставка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napToGrid w:val="0"/>
                                <w:szCs w:val="20"/>
                                <w:lang w:eastAsia="ja-JP"/>
                              </w:rPr>
                              <m:t>ni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napToGrid w:val="0"/>
                        <w:szCs w:val="20"/>
                        <w:lang w:eastAsia="ja-JP"/>
                      </w:rPr>
                      <m:t>i</m:t>
                    </m:r>
                  </m:sup>
                </m:sSup>
              </m:den>
            </m:f>
          </m:e>
        </m:nary>
      </m:oMath>
      <w:r w:rsidRPr="002203A1">
        <w:rPr>
          <w:rFonts w:cs="Tahoma"/>
          <w:snapToGrid w:val="0"/>
          <w:szCs w:val="20"/>
          <w:lang w:eastAsia="ja-JP"/>
        </w:rPr>
        <w:t xml:space="preserve"> </w:t>
      </w:r>
    </w:p>
    <w:p w14:paraId="0D72CD1B" w14:textId="77777777" w:rsidR="002203A1" w:rsidRPr="002203A1" w:rsidRDefault="002203A1" w:rsidP="002203A1">
      <w:pPr>
        <w:tabs>
          <w:tab w:val="left" w:pos="708"/>
          <w:tab w:val="num" w:pos="1134"/>
        </w:tabs>
        <w:snapToGrid w:val="0"/>
        <w:jc w:val="both"/>
        <w:rPr>
          <w:rFonts w:cs="Tahoma"/>
          <w:snapToGrid w:val="0"/>
          <w:szCs w:val="20"/>
          <w:lang w:eastAsia="ja-JP"/>
        </w:rPr>
      </w:pPr>
      <w:r w:rsidRPr="002203A1">
        <w:rPr>
          <w:rFonts w:cs="Tahoma"/>
          <w:snapToGrid w:val="0"/>
          <w:szCs w:val="20"/>
          <w:lang w:eastAsia="ja-JP"/>
        </w:rPr>
        <w:t>Где:</w:t>
      </w:r>
    </w:p>
    <w:p w14:paraId="083340C1" w14:textId="77777777" w:rsidR="002203A1" w:rsidRPr="002203A1" w:rsidRDefault="002203A1" w:rsidP="002203A1">
      <w:pPr>
        <w:tabs>
          <w:tab w:val="left" w:pos="708"/>
          <w:tab w:val="num" w:pos="1134"/>
        </w:tabs>
        <w:snapToGrid w:val="0"/>
        <w:jc w:val="both"/>
        <w:rPr>
          <w:rFonts w:cs="Tahoma"/>
          <w:snapToGrid w:val="0"/>
          <w:szCs w:val="20"/>
          <w:lang w:eastAsia="ja-JP"/>
        </w:rPr>
      </w:pPr>
      <w:r w:rsidRPr="002203A1">
        <w:rPr>
          <w:rFonts w:cs="Tahoma"/>
          <w:snapToGrid w:val="0"/>
          <w:szCs w:val="20"/>
          <w:lang w:eastAsia="ja-JP"/>
        </w:rPr>
        <w:t>Стоимость – дисконтированная стоимость предложения без НДС;</w:t>
      </w:r>
    </w:p>
    <w:p w14:paraId="3147EB94" w14:textId="77777777" w:rsidR="002203A1" w:rsidRPr="002203A1" w:rsidRDefault="002203A1" w:rsidP="002203A1">
      <w:pPr>
        <w:tabs>
          <w:tab w:val="left" w:pos="708"/>
          <w:tab w:val="num" w:pos="1134"/>
        </w:tabs>
        <w:snapToGrid w:val="0"/>
        <w:jc w:val="both"/>
        <w:rPr>
          <w:rFonts w:cs="Tahoma"/>
          <w:snapToGrid w:val="0"/>
          <w:szCs w:val="20"/>
          <w:lang w:eastAsia="ja-JP"/>
        </w:rPr>
      </w:pPr>
      <w:r w:rsidRPr="002203A1">
        <w:rPr>
          <w:rFonts w:cs="Tahoma"/>
          <w:snapToGrid w:val="0"/>
          <w:szCs w:val="20"/>
          <w:lang w:eastAsia="ja-JP"/>
        </w:rPr>
        <w:t>n – максимальная отсрочка платежа в условиях оплаты (месяцев/дней);</w:t>
      </w:r>
    </w:p>
    <w:p w14:paraId="2F2560D6" w14:textId="77777777" w:rsidR="002203A1" w:rsidRPr="002203A1" w:rsidRDefault="002203A1" w:rsidP="002203A1">
      <w:pPr>
        <w:tabs>
          <w:tab w:val="left" w:pos="708"/>
          <w:tab w:val="num" w:pos="1134"/>
        </w:tabs>
        <w:snapToGrid w:val="0"/>
        <w:jc w:val="both"/>
        <w:rPr>
          <w:rFonts w:cs="Tahoma"/>
          <w:snapToGrid w:val="0"/>
          <w:szCs w:val="20"/>
          <w:lang w:eastAsia="ja-JP"/>
        </w:rPr>
      </w:pPr>
      <w:r w:rsidRPr="002203A1">
        <w:rPr>
          <w:rFonts w:cs="Tahoma"/>
          <w:snapToGrid w:val="0"/>
          <w:szCs w:val="20"/>
          <w:lang w:eastAsia="ja-JP"/>
        </w:rPr>
        <w:t xml:space="preserve">i - счетный месяц/день наступления единовременного платежа, устанавливаемый от последнего дня поставки по техническому заданию/от даты окончания работ/оказания услуг, указанной в техническом задании в соответствии с условиями оплаты. В случае, если условие оплаты «…с отсрочкой _ рабочих дней…», то рабочие дни устанавливаются согласно производственному графику, утвержденному Правительством РФ. Для авансового платежа </w:t>
      </w:r>
      <w:r w:rsidRPr="002203A1">
        <w:rPr>
          <w:rFonts w:cs="Tahoma"/>
          <w:snapToGrid w:val="0"/>
          <w:szCs w:val="20"/>
          <w:lang w:val="en-US" w:eastAsia="ja-JP"/>
        </w:rPr>
        <w:t>i</w:t>
      </w:r>
      <w:r w:rsidRPr="002203A1">
        <w:rPr>
          <w:rFonts w:cs="Tahoma"/>
          <w:snapToGrid w:val="0"/>
          <w:szCs w:val="20"/>
          <w:lang w:eastAsia="ja-JP"/>
        </w:rPr>
        <w:t xml:space="preserve"> равно 0; </w:t>
      </w:r>
    </w:p>
    <w:p w14:paraId="4800C3F0" w14:textId="77777777" w:rsidR="002203A1" w:rsidRPr="002203A1" w:rsidRDefault="002203A1" w:rsidP="002203A1">
      <w:pPr>
        <w:tabs>
          <w:tab w:val="left" w:pos="708"/>
          <w:tab w:val="num" w:pos="1134"/>
        </w:tabs>
        <w:snapToGrid w:val="0"/>
        <w:jc w:val="both"/>
        <w:rPr>
          <w:rFonts w:cs="Tahoma"/>
          <w:snapToGrid w:val="0"/>
          <w:szCs w:val="20"/>
          <w:lang w:eastAsia="ja-JP"/>
        </w:rPr>
      </w:pPr>
      <w:r w:rsidRPr="002203A1">
        <w:rPr>
          <w:rFonts w:cs="Tahoma"/>
          <w:snapToGrid w:val="0"/>
          <w:szCs w:val="20"/>
          <w:lang w:eastAsia="ja-JP"/>
        </w:rPr>
        <w:lastRenderedPageBreak/>
        <w:t>Платеж</w:t>
      </w:r>
      <w:r w:rsidRPr="002203A1">
        <w:rPr>
          <w:rFonts w:cs="Tahoma"/>
          <w:snapToGrid w:val="0"/>
          <w:szCs w:val="20"/>
          <w:vertAlign w:val="subscript"/>
          <w:lang w:val="en-US" w:eastAsia="ja-JP"/>
        </w:rPr>
        <w:t>i</w:t>
      </w:r>
      <w:r w:rsidRPr="002203A1">
        <w:rPr>
          <w:rFonts w:cs="Tahoma"/>
          <w:snapToGrid w:val="0"/>
          <w:szCs w:val="20"/>
          <w:lang w:eastAsia="ja-JP"/>
        </w:rPr>
        <w:t xml:space="preserve"> – стоимость предложения без НДС;</w:t>
      </w:r>
    </w:p>
    <w:p w14:paraId="6069B1FE" w14:textId="77777777" w:rsidR="002203A1" w:rsidRPr="002203A1" w:rsidRDefault="002203A1" w:rsidP="002203A1">
      <w:pPr>
        <w:tabs>
          <w:tab w:val="left" w:pos="708"/>
          <w:tab w:val="num" w:pos="1134"/>
        </w:tabs>
        <w:snapToGrid w:val="0"/>
        <w:jc w:val="both"/>
        <w:rPr>
          <w:rFonts w:cs="Tahoma"/>
          <w:snapToGrid w:val="0"/>
          <w:szCs w:val="20"/>
          <w:lang w:eastAsia="ja-JP"/>
        </w:rPr>
      </w:pPr>
      <w:r w:rsidRPr="002203A1">
        <w:rPr>
          <w:rFonts w:cs="Tahoma"/>
          <w:snapToGrid w:val="0"/>
          <w:szCs w:val="20"/>
          <w:lang w:eastAsia="ja-JP"/>
        </w:rPr>
        <w:t xml:space="preserve">Ставка – ключевая ставка ЦБ РФ (согласно данным официального сайта ЦБ РФ https://cbr.ru/), действующая на день размещения извещения о закупке в Единой информационной системе в сфере закупок. Применяется в расчете оценки на всех этапах проведения закупочной процедуры, в том числе при проведении процедур переторжки. </w:t>
      </w:r>
    </w:p>
    <w:p w14:paraId="51DE3504" w14:textId="77777777" w:rsidR="002203A1" w:rsidRPr="002203A1" w:rsidRDefault="002203A1" w:rsidP="002203A1">
      <w:pPr>
        <w:spacing w:after="200" w:line="276" w:lineRule="auto"/>
        <w:ind w:left="708"/>
        <w:contextualSpacing/>
        <w:rPr>
          <w:rFonts w:cs="Tahoma"/>
          <w:szCs w:val="20"/>
        </w:rPr>
      </w:pPr>
      <w:proofErr w:type="spellStart"/>
      <w:r w:rsidRPr="002203A1">
        <w:rPr>
          <w:rFonts w:cs="Tahoma"/>
          <w:snapToGrid w:val="0"/>
          <w:szCs w:val="20"/>
          <w:lang w:eastAsia="ja-JP"/>
        </w:rPr>
        <w:t>ni</w:t>
      </w:r>
      <w:proofErr w:type="spellEnd"/>
      <w:r w:rsidRPr="002203A1">
        <w:rPr>
          <w:rFonts w:cs="Tahoma"/>
          <w:snapToGrid w:val="0"/>
          <w:szCs w:val="20"/>
          <w:lang w:eastAsia="ja-JP"/>
        </w:rPr>
        <w:t xml:space="preserve"> – количество счетных месяцев/дней в коммерческом году (360 дней, если иное не установлено законом).</w:t>
      </w:r>
    </w:p>
    <w:p w14:paraId="54A4A8D4" w14:textId="77777777" w:rsidR="002203A1" w:rsidRPr="002203A1" w:rsidRDefault="002203A1" w:rsidP="002203A1">
      <w:pPr>
        <w:jc w:val="both"/>
        <w:rPr>
          <w:rFonts w:cs="Tahoma"/>
          <w:sz w:val="12"/>
          <w:szCs w:val="12"/>
          <w:lang w:eastAsia="x-none"/>
        </w:rPr>
      </w:pPr>
    </w:p>
    <w:p w14:paraId="4BEDA6B4" w14:textId="5C23BC32" w:rsidR="002203A1" w:rsidRPr="002203A1" w:rsidRDefault="002203A1" w:rsidP="002203A1">
      <w:pPr>
        <w:ind w:firstLine="708"/>
        <w:rPr>
          <w:rFonts w:cs="Tahoma"/>
        </w:rPr>
      </w:pPr>
      <w:r w:rsidRPr="002203A1">
        <w:rPr>
          <w:rFonts w:cs="Tahoma"/>
        </w:rPr>
        <w:t xml:space="preserve">Балльная оценка каждой заявки по критерию «Стоимость </w:t>
      </w:r>
      <w:r>
        <w:rPr>
          <w:rFonts w:cs="Tahoma"/>
        </w:rPr>
        <w:t>предложения</w:t>
      </w:r>
      <w:r w:rsidRPr="002203A1">
        <w:rPr>
          <w:rFonts w:cs="Tahoma"/>
        </w:rPr>
        <w:t>» определяется по следующей формуле:</w:t>
      </w:r>
    </w:p>
    <w:p w14:paraId="7721317C" w14:textId="77777777" w:rsidR="002203A1" w:rsidRPr="002203A1" w:rsidRDefault="002203A1" w:rsidP="002203A1">
      <w:pPr>
        <w:rPr>
          <w:rFonts w:cs="Tahoma"/>
          <w:sz w:val="12"/>
          <w:szCs w:val="12"/>
        </w:rPr>
      </w:pPr>
    </w:p>
    <w:p w14:paraId="4F746A0B" w14:textId="5F8BE66B" w:rsidR="002203A1" w:rsidRPr="002203A1" w:rsidRDefault="007841E2" w:rsidP="002203A1">
      <w:pPr>
        <w:rPr>
          <w:rFonts w:cs="Tahom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Tahoma"/>
                  <w:lang w:val="en-US"/>
                </w:rPr>
                <m:t>К1</m:t>
              </m:r>
            </m:e>
            <m:sub/>
          </m:sSub>
          <m:r>
            <w:rPr>
              <w:rFonts w:ascii="Cambria Math" w:cs="Tahoma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cs="Tahoma"/>
            </w:rPr>
            <m:t>х</m:t>
          </m:r>
          <m:r>
            <w:rPr>
              <w:rFonts w:ascii="Cambria Math" w:cs="Tahoma"/>
            </w:rPr>
            <m:t xml:space="preserve"> </m:t>
          </m:r>
          <m:r>
            <w:rPr>
              <w:rFonts w:ascii="Cambria Math" w:hAnsi="Cambria Math" w:cs="Tahoma"/>
              <w:lang w:val="en-US"/>
            </w:rPr>
            <m:t>4</m:t>
          </m:r>
        </m:oMath>
      </m:oMathPara>
    </w:p>
    <w:p w14:paraId="4014F58C" w14:textId="77777777" w:rsidR="002203A1" w:rsidRPr="002203A1" w:rsidRDefault="002203A1" w:rsidP="002203A1">
      <w:pPr>
        <w:rPr>
          <w:rFonts w:cs="Tahoma"/>
          <w:sz w:val="12"/>
          <w:szCs w:val="12"/>
        </w:rPr>
      </w:pPr>
    </w:p>
    <w:p w14:paraId="7F1CD59F" w14:textId="3EF24100" w:rsidR="002203A1" w:rsidRPr="002203A1" w:rsidRDefault="002203A1" w:rsidP="002203A1">
      <w:pPr>
        <w:rPr>
          <w:rFonts w:cs="Tahoma"/>
        </w:rPr>
      </w:pPr>
      <w:r>
        <w:rPr>
          <w:rFonts w:cs="Tahoma"/>
        </w:rPr>
        <w:t>К1</w:t>
      </w:r>
      <w:r w:rsidRPr="002203A1">
        <w:rPr>
          <w:rFonts w:cs="Tahoma"/>
        </w:rPr>
        <w:t xml:space="preserve">– баллы, присуждаемые </w:t>
      </w:r>
      <w:r w:rsidRPr="002203A1">
        <w:rPr>
          <w:rFonts w:cs="Tahoma"/>
          <w:lang w:val="en-US"/>
        </w:rPr>
        <w:t>i</w:t>
      </w:r>
      <w:r w:rsidRPr="002203A1">
        <w:rPr>
          <w:rFonts w:cs="Tahoma"/>
        </w:rPr>
        <w:t>-му участнику;</w:t>
      </w:r>
    </w:p>
    <w:p w14:paraId="103C25D5" w14:textId="77777777" w:rsidR="002203A1" w:rsidRPr="002203A1" w:rsidRDefault="007841E2" w:rsidP="002203A1">
      <w:pPr>
        <w:rPr>
          <w:rFonts w:cs="Tahoma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min</m:t>
            </m:r>
          </m:sub>
        </m:sSub>
      </m:oMath>
      <w:r w:rsidR="002203A1" w:rsidRPr="002203A1">
        <w:rPr>
          <w:rFonts w:cs="Tahoma"/>
        </w:rPr>
        <w:t xml:space="preserve"> – минимальная дисконтированная стоимость заявки, предложенная Участниками;</w:t>
      </w:r>
    </w:p>
    <w:p w14:paraId="6E841399" w14:textId="77777777" w:rsidR="002203A1" w:rsidRPr="002203A1" w:rsidRDefault="007841E2" w:rsidP="002203A1">
      <w:pPr>
        <w:rPr>
          <w:rFonts w:cs="Tahoma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2203A1" w:rsidRPr="002203A1">
        <w:rPr>
          <w:rFonts w:cs="Tahoma"/>
        </w:rPr>
        <w:t xml:space="preserve">     – дисконтированная стоимость заявки </w:t>
      </w:r>
      <w:r w:rsidR="002203A1" w:rsidRPr="002203A1">
        <w:rPr>
          <w:rFonts w:cs="Tahoma"/>
          <w:lang w:val="en-US"/>
        </w:rPr>
        <w:t>i</w:t>
      </w:r>
      <w:r w:rsidR="002203A1" w:rsidRPr="002203A1">
        <w:rPr>
          <w:rFonts w:cs="Tahoma"/>
        </w:rPr>
        <w:t>-го участника;</w:t>
      </w:r>
    </w:p>
    <w:p w14:paraId="5BF0CFC3" w14:textId="77777777" w:rsidR="002203A1" w:rsidRPr="002203A1" w:rsidRDefault="002203A1" w:rsidP="002203A1">
      <w:pPr>
        <w:rPr>
          <w:rFonts w:cs="Tahoma"/>
        </w:rPr>
      </w:pPr>
      <w:r w:rsidRPr="002203A1">
        <w:rPr>
          <w:rFonts w:cs="Tahoma"/>
          <w:lang w:val="en-US"/>
        </w:rPr>
        <w:t>i</w:t>
      </w:r>
      <w:r w:rsidRPr="002203A1">
        <w:rPr>
          <w:rFonts w:cs="Tahoma"/>
        </w:rPr>
        <w:t xml:space="preserve"> – </w:t>
      </w:r>
      <w:proofErr w:type="gramStart"/>
      <w:r w:rsidRPr="002203A1">
        <w:rPr>
          <w:rFonts w:cs="Tahoma"/>
        </w:rPr>
        <w:t>участник</w:t>
      </w:r>
      <w:proofErr w:type="gramEnd"/>
      <w:r w:rsidRPr="002203A1">
        <w:rPr>
          <w:rFonts w:cs="Tahoma"/>
        </w:rPr>
        <w:t xml:space="preserve"> закупки.</w:t>
      </w:r>
    </w:p>
    <w:p w14:paraId="405F5D5B" w14:textId="77777777" w:rsidR="002203A1" w:rsidRPr="002203A1" w:rsidRDefault="002203A1" w:rsidP="002203A1">
      <w:pPr>
        <w:rPr>
          <w:rFonts w:cs="Tahoma"/>
        </w:rPr>
      </w:pPr>
    </w:p>
    <w:p w14:paraId="258D4D05" w14:textId="77777777" w:rsidR="002203A1" w:rsidRPr="002203A1" w:rsidRDefault="002203A1" w:rsidP="002203A1">
      <w:pPr>
        <w:ind w:firstLine="708"/>
        <w:rPr>
          <w:rFonts w:cs="Tahoma"/>
        </w:rPr>
      </w:pPr>
      <w:r w:rsidRPr="002203A1">
        <w:rPr>
          <w:rFonts w:cs="Tahoma"/>
        </w:rPr>
        <w:t>Значения баллов, полученные по данной формуле, округляются до четырех знаков после запятой.</w:t>
      </w:r>
    </w:p>
    <w:p w14:paraId="38D06DF1" w14:textId="77777777" w:rsidR="002203A1" w:rsidRPr="002203A1" w:rsidRDefault="002203A1" w:rsidP="002203A1">
      <w:pPr>
        <w:jc w:val="both"/>
        <w:rPr>
          <w:rFonts w:cs="Tahoma"/>
          <w:szCs w:val="20"/>
          <w:lang w:eastAsia="en-US"/>
        </w:rPr>
      </w:pPr>
    </w:p>
    <w:p w14:paraId="354CCA44" w14:textId="77777777" w:rsidR="00B219F9" w:rsidRPr="006C2124" w:rsidRDefault="00B219F9" w:rsidP="00B219F9">
      <w:pPr>
        <w:ind w:firstLine="708"/>
        <w:jc w:val="both"/>
        <w:rPr>
          <w:rFonts w:cs="Tahoma"/>
          <w:b/>
          <w:snapToGrid w:val="0"/>
          <w:szCs w:val="20"/>
          <w:lang w:eastAsia="x-none"/>
        </w:rPr>
      </w:pPr>
      <w:r w:rsidRPr="006C2124">
        <w:rPr>
          <w:rFonts w:cs="Tahoma"/>
          <w:b/>
          <w:snapToGrid w:val="0"/>
          <w:szCs w:val="20"/>
          <w:lang w:eastAsia="x-none"/>
        </w:rPr>
        <w:t>ПО КРИТЕРИЮ «</w:t>
      </w:r>
      <w:r w:rsidRPr="006C2124">
        <w:rPr>
          <w:rFonts w:cs="Tahoma"/>
          <w:b/>
          <w:snapToGrid w:val="0"/>
          <w:szCs w:val="20"/>
          <w:lang w:val="x-none" w:eastAsia="x-none"/>
        </w:rPr>
        <w:t>Наличие у Участника опыта оказания аналогичных</w:t>
      </w:r>
      <w:r w:rsidRPr="006C2124">
        <w:rPr>
          <w:rFonts w:cs="Tahoma"/>
          <w:b/>
          <w:snapToGrid w:val="0"/>
          <w:szCs w:val="20"/>
          <w:vertAlign w:val="superscript"/>
          <w:lang w:val="x-none" w:eastAsia="x-none"/>
        </w:rPr>
        <w:footnoteReference w:id="2"/>
      </w:r>
      <w:r w:rsidRPr="006C2124">
        <w:rPr>
          <w:rFonts w:cs="Tahoma"/>
          <w:b/>
          <w:snapToGrid w:val="0"/>
          <w:szCs w:val="20"/>
          <w:lang w:val="x-none" w:eastAsia="x-none"/>
        </w:rPr>
        <w:t xml:space="preserve"> услуг</w:t>
      </w:r>
      <w:r w:rsidRPr="006C2124">
        <w:rPr>
          <w:rFonts w:cs="Tahoma"/>
          <w:snapToGrid w:val="0"/>
          <w:szCs w:val="20"/>
          <w:lang w:val="x-none" w:eastAsia="en-US"/>
        </w:rPr>
        <w:t xml:space="preserve"> </w:t>
      </w:r>
      <w:r w:rsidRPr="006C2124">
        <w:rPr>
          <w:rFonts w:cs="Tahoma"/>
          <w:b/>
          <w:snapToGrid w:val="0"/>
          <w:szCs w:val="20"/>
          <w:lang w:val="x-none" w:eastAsia="en-US"/>
        </w:rPr>
        <w:t>за последние 3 (три) года</w:t>
      </w:r>
      <w:r w:rsidRPr="006C2124">
        <w:rPr>
          <w:rFonts w:cs="Tahoma"/>
          <w:b/>
          <w:szCs w:val="20"/>
        </w:rPr>
        <w:t xml:space="preserve">» </w:t>
      </w:r>
      <w:r w:rsidRPr="006C2124">
        <w:rPr>
          <w:rFonts w:cs="Tahoma"/>
          <w:b/>
          <w:snapToGrid w:val="0"/>
          <w:szCs w:val="20"/>
          <w:lang w:eastAsia="x-none"/>
        </w:rPr>
        <w:t>ОЦЕНКА ПРОИЗВОДИТСЯ В СООТВЕТСТВИИ СО СЛЕДУЮЩЕЙ МЕТОДИКОЙ:</w:t>
      </w:r>
    </w:p>
    <w:p w14:paraId="5DF85F0E" w14:textId="77777777" w:rsidR="00B219F9" w:rsidRPr="006C2124" w:rsidRDefault="00B219F9" w:rsidP="00B219F9">
      <w:pPr>
        <w:ind w:firstLine="567"/>
        <w:jc w:val="both"/>
        <w:rPr>
          <w:rFonts w:cs="Tahoma"/>
          <w:b/>
          <w:szCs w:val="20"/>
        </w:rPr>
      </w:pPr>
    </w:p>
    <w:p w14:paraId="1C637973" w14:textId="269FCB37" w:rsidR="00B219F9" w:rsidRPr="006C2124" w:rsidRDefault="00B219F9" w:rsidP="00B219F9">
      <w:pPr>
        <w:ind w:firstLine="567"/>
        <w:jc w:val="both"/>
        <w:rPr>
          <w:rFonts w:cs="Tahoma"/>
          <w:szCs w:val="20"/>
        </w:rPr>
      </w:pPr>
      <w:r w:rsidRPr="006C2124">
        <w:rPr>
          <w:rFonts w:cs="Tahoma"/>
          <w:szCs w:val="20"/>
        </w:rPr>
        <w:t xml:space="preserve">Оценка производится на основании данных по количеству исполненных договоров (контрактов) за последние 3 (три) года до даты размещения в Единой информационной системе в сфере закупок извещения о настоящей закупке, указанных в Справке о выполнении аналогичных (сопоставимых) договоров по установленной в </w:t>
      </w:r>
      <w:r>
        <w:rPr>
          <w:rFonts w:cs="Tahoma"/>
          <w:szCs w:val="20"/>
        </w:rPr>
        <w:t>закупочной документации форме 15</w:t>
      </w:r>
      <w:r w:rsidRPr="006C2124">
        <w:rPr>
          <w:rFonts w:cs="Tahoma"/>
          <w:szCs w:val="20"/>
        </w:rPr>
        <w:t>.</w:t>
      </w:r>
    </w:p>
    <w:p w14:paraId="2F36F0B1" w14:textId="77777777" w:rsidR="00B219F9" w:rsidRPr="006C2124" w:rsidRDefault="00B219F9" w:rsidP="00B219F9">
      <w:pPr>
        <w:jc w:val="both"/>
        <w:rPr>
          <w:rFonts w:cs="Tahoma"/>
          <w:szCs w:val="20"/>
          <w:u w:val="single"/>
          <w:lang w:eastAsia="en-US"/>
        </w:rPr>
      </w:pPr>
      <w:r w:rsidRPr="006C2124">
        <w:rPr>
          <w:rFonts w:cs="Tahoma"/>
          <w:szCs w:val="20"/>
          <w:u w:val="single"/>
          <w:lang w:eastAsia="en-US"/>
        </w:rPr>
        <w:t>Каждый, указанный в Справке договор (контракт), должен соответствовать одновременно всем следующим условиям:</w:t>
      </w:r>
    </w:p>
    <w:p w14:paraId="69BC8DD1" w14:textId="77777777" w:rsidR="00B219F9" w:rsidRPr="006C2124" w:rsidRDefault="00B219F9" w:rsidP="00B219F9">
      <w:pPr>
        <w:jc w:val="both"/>
        <w:rPr>
          <w:rFonts w:cs="Tahoma"/>
          <w:szCs w:val="20"/>
        </w:rPr>
      </w:pPr>
      <w:r w:rsidRPr="006C2124">
        <w:rPr>
          <w:rFonts w:cs="Tahoma"/>
          <w:szCs w:val="20"/>
        </w:rPr>
        <w:t>1. Предметом договора (контра</w:t>
      </w:r>
      <w:r>
        <w:rPr>
          <w:rFonts w:cs="Tahoma"/>
          <w:szCs w:val="20"/>
        </w:rPr>
        <w:t xml:space="preserve">кта) является разработка или </w:t>
      </w:r>
      <w:proofErr w:type="gramStart"/>
      <w:r w:rsidRPr="006C2124">
        <w:rPr>
          <w:rFonts w:cs="Tahoma"/>
          <w:szCs w:val="20"/>
        </w:rPr>
        <w:t>внедрение</w:t>
      </w:r>
      <w:proofErr w:type="gramEnd"/>
      <w:r>
        <w:rPr>
          <w:rFonts w:cs="Tahoma"/>
          <w:szCs w:val="20"/>
        </w:rPr>
        <w:t xml:space="preserve"> или</w:t>
      </w:r>
      <w:r w:rsidRPr="006C2124">
        <w:rPr>
          <w:rFonts w:cs="Tahoma"/>
          <w:szCs w:val="20"/>
        </w:rPr>
        <w:t xml:space="preserve"> доработка</w:t>
      </w:r>
      <w:r>
        <w:rPr>
          <w:rFonts w:cs="Tahoma"/>
          <w:szCs w:val="20"/>
        </w:rPr>
        <w:t xml:space="preserve"> или</w:t>
      </w:r>
      <w:r w:rsidRPr="006C2124">
        <w:rPr>
          <w:rFonts w:cs="Tahoma"/>
          <w:szCs w:val="20"/>
        </w:rPr>
        <w:t xml:space="preserve"> сопровождение</w:t>
      </w:r>
      <w:r>
        <w:rPr>
          <w:rFonts w:cs="Tahoma"/>
          <w:szCs w:val="20"/>
        </w:rPr>
        <w:t xml:space="preserve"> или</w:t>
      </w:r>
      <w:r w:rsidRPr="006C2124">
        <w:rPr>
          <w:rFonts w:cs="Tahoma"/>
          <w:szCs w:val="20"/>
        </w:rPr>
        <w:t xml:space="preserve"> разработка технических заданий на внедрение </w:t>
      </w:r>
      <w:r>
        <w:rPr>
          <w:rFonts w:cs="Tahoma"/>
          <w:szCs w:val="20"/>
        </w:rPr>
        <w:t>нетиповых конфигураций</w:t>
      </w:r>
      <w:r w:rsidRPr="006C2124">
        <w:rPr>
          <w:rFonts w:cs="Tahoma"/>
          <w:szCs w:val="20"/>
        </w:rPr>
        <w:t xml:space="preserve"> на платформе 1С, с приложением копий указанных договоров (контрактов), а также документов, подтверждающих цену исполненного представленного договора (контракта), составление которых предусмотрено представленным участником закупки договором (контрактом) (например, акты выполненных работ).</w:t>
      </w:r>
    </w:p>
    <w:p w14:paraId="01996AC3" w14:textId="77777777" w:rsidR="00B219F9" w:rsidRPr="006C2124" w:rsidRDefault="00B219F9" w:rsidP="00B219F9">
      <w:pPr>
        <w:jc w:val="both"/>
        <w:rPr>
          <w:rFonts w:cs="Tahoma"/>
          <w:szCs w:val="20"/>
        </w:rPr>
      </w:pPr>
    </w:p>
    <w:p w14:paraId="75A17A87" w14:textId="77777777" w:rsidR="00B219F9" w:rsidRPr="006C2124" w:rsidRDefault="00B219F9" w:rsidP="00B219F9">
      <w:pPr>
        <w:ind w:firstLine="567"/>
        <w:jc w:val="both"/>
        <w:rPr>
          <w:rFonts w:cs="Tahoma"/>
          <w:szCs w:val="20"/>
        </w:rPr>
      </w:pPr>
    </w:p>
    <w:p w14:paraId="4EE67605" w14:textId="31936457" w:rsidR="00B219F9" w:rsidRPr="006C2124" w:rsidRDefault="00B219F9" w:rsidP="00B219F9">
      <w:pPr>
        <w:jc w:val="both"/>
        <w:rPr>
          <w:rFonts w:cs="Tahoma"/>
          <w:b/>
          <w:szCs w:val="20"/>
          <w:lang w:eastAsia="en-US"/>
        </w:rPr>
      </w:pPr>
      <w:r w:rsidRPr="006C2124">
        <w:rPr>
          <w:rFonts w:cs="Tahoma"/>
          <w:szCs w:val="20"/>
          <w:lang w:eastAsia="en-US"/>
        </w:rPr>
        <w:t xml:space="preserve">2. Цена каждого исполненного договора (контракта) должна быть </w:t>
      </w:r>
      <w:r>
        <w:rPr>
          <w:rFonts w:cs="Tahoma"/>
          <w:b/>
          <w:szCs w:val="20"/>
          <w:lang w:eastAsia="en-US"/>
        </w:rPr>
        <w:t>не менее 853</w:t>
      </w:r>
      <w:r w:rsidRPr="006C2124">
        <w:rPr>
          <w:rFonts w:cs="Tahoma"/>
          <w:b/>
          <w:szCs w:val="20"/>
          <w:lang w:eastAsia="en-US"/>
        </w:rPr>
        <w:t xml:space="preserve"> 0</w:t>
      </w:r>
      <w:r>
        <w:rPr>
          <w:rFonts w:cs="Tahoma"/>
          <w:b/>
          <w:szCs w:val="20"/>
          <w:lang w:eastAsia="en-US"/>
        </w:rPr>
        <w:t>2</w:t>
      </w:r>
      <w:r w:rsidRPr="006C2124">
        <w:rPr>
          <w:rFonts w:cs="Tahoma"/>
          <w:b/>
          <w:szCs w:val="20"/>
          <w:lang w:eastAsia="en-US"/>
        </w:rPr>
        <w:t>0 (</w:t>
      </w:r>
      <w:r>
        <w:rPr>
          <w:rFonts w:cs="Tahoma"/>
          <w:b/>
          <w:szCs w:val="20"/>
          <w:lang w:eastAsia="en-US"/>
        </w:rPr>
        <w:t>Восемьсот пятьдесят три тысячи двадцать</w:t>
      </w:r>
      <w:r w:rsidRPr="006C2124">
        <w:rPr>
          <w:rFonts w:cs="Tahoma"/>
          <w:b/>
          <w:szCs w:val="20"/>
          <w:lang w:eastAsia="en-US"/>
        </w:rPr>
        <w:t>) рублей 00 копеек.</w:t>
      </w:r>
    </w:p>
    <w:p w14:paraId="7A4A6F43" w14:textId="77777777" w:rsidR="00B219F9" w:rsidRPr="006C2124" w:rsidRDefault="00B219F9" w:rsidP="00B219F9">
      <w:pPr>
        <w:rPr>
          <w:rFonts w:cs="Tahoma"/>
          <w:szCs w:val="20"/>
        </w:rPr>
      </w:pPr>
      <w:r w:rsidRPr="006C2124">
        <w:rPr>
          <w:rFonts w:cs="Tahoma"/>
          <w:szCs w:val="20"/>
        </w:rPr>
        <w:t>В случае, если стоимость договора выражена в иностранной валюте, то перевод стоимости в рубли производится по официальному курсу ЦБ РФ на дату подписания акта.</w:t>
      </w:r>
    </w:p>
    <w:p w14:paraId="149B4831" w14:textId="77777777" w:rsidR="00B219F9" w:rsidRPr="006C2124" w:rsidRDefault="00B219F9" w:rsidP="00B219F9">
      <w:pPr>
        <w:jc w:val="both"/>
        <w:rPr>
          <w:rFonts w:cs="Tahoma"/>
          <w:b/>
          <w:szCs w:val="20"/>
          <w:lang w:eastAsia="en-US"/>
        </w:rPr>
      </w:pPr>
    </w:p>
    <w:p w14:paraId="242D342D" w14:textId="77777777" w:rsidR="00B219F9" w:rsidRPr="006C2124" w:rsidRDefault="00B219F9" w:rsidP="00B219F9">
      <w:pPr>
        <w:jc w:val="both"/>
        <w:rPr>
          <w:rFonts w:cs="Tahoma"/>
          <w:b/>
          <w:szCs w:val="20"/>
          <w:lang w:eastAsia="en-US"/>
        </w:rPr>
      </w:pPr>
    </w:p>
    <w:p w14:paraId="75377AE9" w14:textId="77777777" w:rsidR="00B219F9" w:rsidRPr="006C2124" w:rsidRDefault="00B219F9" w:rsidP="00B219F9">
      <w:pPr>
        <w:jc w:val="both"/>
        <w:rPr>
          <w:rFonts w:cs="Tahoma"/>
          <w:b/>
          <w:i/>
          <w:szCs w:val="20"/>
        </w:rPr>
      </w:pPr>
      <w:r w:rsidRPr="006C2124">
        <w:rPr>
          <w:rFonts w:cs="Tahoma"/>
          <w:b/>
          <w:i/>
          <w:szCs w:val="20"/>
        </w:rPr>
        <w:t>! Договоры (контракты) несоответствующие указанным условиям, считаются непредставленными.</w:t>
      </w:r>
    </w:p>
    <w:p w14:paraId="6C73314E" w14:textId="77777777" w:rsidR="00B219F9" w:rsidRPr="006C2124" w:rsidRDefault="00B219F9" w:rsidP="00B219F9">
      <w:pPr>
        <w:shd w:val="clear" w:color="auto" w:fill="FFFFFF"/>
        <w:textAlignment w:val="top"/>
        <w:rPr>
          <w:rFonts w:cs="Tahoma"/>
          <w:color w:val="333333"/>
          <w:szCs w:val="20"/>
        </w:rPr>
      </w:pPr>
    </w:p>
    <w:p w14:paraId="1A37767F" w14:textId="77777777" w:rsidR="00B219F9" w:rsidRPr="006C2124" w:rsidRDefault="00B219F9" w:rsidP="00B219F9">
      <w:pPr>
        <w:shd w:val="clear" w:color="auto" w:fill="FFFFFF"/>
        <w:jc w:val="both"/>
        <w:textAlignment w:val="top"/>
        <w:rPr>
          <w:rFonts w:cs="Tahoma"/>
          <w:color w:val="333333"/>
          <w:szCs w:val="20"/>
        </w:rPr>
      </w:pPr>
      <w:r w:rsidRPr="006C2124">
        <w:rPr>
          <w:rFonts w:cs="Tahoma"/>
          <w:color w:val="333333"/>
          <w:szCs w:val="20"/>
        </w:rPr>
        <w:t>Представленные участником закупки контракты/договоры, исполнение которых не подтверждено документально, не учитываются при оценке.</w:t>
      </w:r>
    </w:p>
    <w:p w14:paraId="5CC9B509" w14:textId="77777777" w:rsidR="00B219F9" w:rsidRPr="006C2124" w:rsidRDefault="00B219F9" w:rsidP="00B219F9">
      <w:pPr>
        <w:shd w:val="clear" w:color="auto" w:fill="FFFFFF"/>
        <w:jc w:val="both"/>
        <w:textAlignment w:val="top"/>
        <w:rPr>
          <w:rFonts w:cs="Tahoma"/>
          <w:color w:val="333333"/>
          <w:szCs w:val="20"/>
        </w:rPr>
      </w:pPr>
      <w:r w:rsidRPr="006C2124">
        <w:rPr>
          <w:rFonts w:cs="Tahoma"/>
          <w:color w:val="333333"/>
          <w:szCs w:val="20"/>
        </w:rPr>
        <w:t xml:space="preserve">Представленные документы должны быть в виде </w:t>
      </w:r>
      <w:proofErr w:type="spellStart"/>
      <w:r w:rsidRPr="006C2124">
        <w:rPr>
          <w:rFonts w:cs="Tahoma"/>
          <w:color w:val="333333"/>
          <w:szCs w:val="20"/>
        </w:rPr>
        <w:t>полночитаемых</w:t>
      </w:r>
      <w:proofErr w:type="spellEnd"/>
      <w:r w:rsidRPr="006C2124">
        <w:rPr>
          <w:rFonts w:cs="Tahoma"/>
          <w:color w:val="333333"/>
          <w:szCs w:val="20"/>
        </w:rPr>
        <w:t xml:space="preserve"> копий, на которых видны необходимые сведения, в том числе даты, подписи, печати, ЭП. Предложение участника в отношении представленных сведений, не соответствующих указанным требованиям, к оценке не принимается.</w:t>
      </w:r>
    </w:p>
    <w:p w14:paraId="4132FE60" w14:textId="77777777" w:rsidR="00B219F9" w:rsidRPr="006C2124" w:rsidRDefault="00B219F9" w:rsidP="00B219F9">
      <w:pPr>
        <w:ind w:firstLine="567"/>
        <w:jc w:val="both"/>
        <w:rPr>
          <w:rFonts w:cs="Tahoma"/>
          <w:szCs w:val="20"/>
        </w:rPr>
      </w:pPr>
      <w:r w:rsidRPr="006C2124">
        <w:rPr>
          <w:rFonts w:cs="Tahoma"/>
          <w:szCs w:val="20"/>
        </w:rPr>
        <w:t>Балльная оценка каждой заявки по критерию определяется по следующей формуле:</w:t>
      </w:r>
    </w:p>
    <w:p w14:paraId="5C557620" w14:textId="77777777" w:rsidR="00B219F9" w:rsidRPr="006C2124" w:rsidRDefault="00B219F9" w:rsidP="00B219F9">
      <w:pPr>
        <w:rPr>
          <w:rFonts w:cs="Tahoma"/>
          <w:szCs w:val="20"/>
        </w:rPr>
      </w:pPr>
    </w:p>
    <w:p w14:paraId="55A18DE1" w14:textId="77777777" w:rsidR="00B219F9" w:rsidRPr="006C2124" w:rsidRDefault="007841E2" w:rsidP="00B219F9">
      <w:pPr>
        <w:rPr>
          <w:rFonts w:cs="Tahoma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ahoma"/>
                  <w:szCs w:val="20"/>
                </w:rPr>
              </m:ctrlPr>
            </m:sSubPr>
            <m:e>
              <m:r>
                <w:rPr>
                  <w:rFonts w:ascii="Cambria Math" w:hAnsi="Cambria Math" w:cs="Tahoma"/>
                  <w:szCs w:val="20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 w:cs="Tahoma"/>
                  <w:szCs w:val="20"/>
                </w:rPr>
                <m:t>о</m:t>
              </m:r>
            </m:e>
            <m:sub>
              <m:r>
                <w:rPr>
                  <w:rFonts w:ascii="Cambria Math" w:hAnsi="Cambria Math" w:cs="Tahoma"/>
                  <w:szCs w:val="20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Tahoma"/>
              <w:szCs w:val="20"/>
            </w:rPr>
            <m:t>=</m:t>
          </m:r>
          <m:f>
            <m:fPr>
              <m:ctrlPr>
                <w:rPr>
                  <w:rFonts w:ascii="Cambria Math" w:hAnsi="Cambria Math" w:cs="Tahoma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ahoma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ahoma"/>
                      <w:szCs w:val="20"/>
                    </w:rPr>
                    <m:t>Количество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ahoma"/>
                      <w:szCs w:val="20"/>
                    </w:rPr>
                    <m:t>Д</m:t>
                  </m:r>
                  <m:r>
                    <w:rPr>
                      <w:rFonts w:ascii="Cambria Math" w:hAnsi="Cambria Math" w:cs="Tahoma"/>
                      <w:szCs w:val="20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ahoma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ahoma"/>
                      <w:szCs w:val="20"/>
                    </w:rPr>
                    <m:t>Количество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ahoma"/>
                      <w:szCs w:val="20"/>
                    </w:rPr>
                    <m:t>Д</m:t>
                  </m:r>
                  <m:r>
                    <w:rPr>
                      <w:rFonts w:ascii="Cambria Math" w:hAnsi="Cambria Math" w:cs="Tahoma"/>
                      <w:szCs w:val="20"/>
                    </w:rPr>
                    <m:t>max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ahoma"/>
              <w:szCs w:val="20"/>
            </w:rPr>
            <m:t xml:space="preserve"> х 4</m:t>
          </m:r>
        </m:oMath>
      </m:oMathPara>
    </w:p>
    <w:p w14:paraId="31CCCBED" w14:textId="77777777" w:rsidR="00B219F9" w:rsidRPr="006C2124" w:rsidRDefault="00B219F9" w:rsidP="00B219F9">
      <w:pPr>
        <w:rPr>
          <w:rFonts w:cs="Tahoma"/>
          <w:szCs w:val="20"/>
        </w:rPr>
      </w:pPr>
    </w:p>
    <w:p w14:paraId="18B81F1D" w14:textId="77777777" w:rsidR="00B219F9" w:rsidRPr="006C2124" w:rsidRDefault="007841E2" w:rsidP="00B219F9">
      <w:pPr>
        <w:rPr>
          <w:rFonts w:cs="Tahoma"/>
          <w:szCs w:val="20"/>
        </w:rPr>
      </w:pPr>
      <m:oMath>
        <m:sSub>
          <m:sSubPr>
            <m:ctrlPr>
              <w:rPr>
                <w:rFonts w:ascii="Cambria Math" w:hAnsi="Cambria Math" w:cs="Tahoma"/>
                <w:szCs w:val="20"/>
              </w:rPr>
            </m:ctrlPr>
          </m:sSubPr>
          <m:e>
            <m:r>
              <w:rPr>
                <w:rFonts w:ascii="Cambria Math" w:hAnsi="Cambria Math" w:cs="Tahoma"/>
                <w:szCs w:val="20"/>
              </w:rPr>
              <m:t>R</m:t>
            </m:r>
            <m:r>
              <m:rPr>
                <m:sty m:val="p"/>
              </m:rPr>
              <w:rPr>
                <w:rFonts w:ascii="Cambria Math" w:hAnsi="Cambria Math" w:cs="Tahoma"/>
                <w:szCs w:val="20"/>
              </w:rPr>
              <m:t>о</m:t>
            </m:r>
          </m:e>
          <m:sub>
            <m:r>
              <w:rPr>
                <w:rFonts w:ascii="Cambria Math" w:hAnsi="Cambria Math" w:cs="Tahoma"/>
                <w:szCs w:val="20"/>
              </w:rPr>
              <m:t>i</m:t>
            </m:r>
          </m:sub>
        </m:sSub>
      </m:oMath>
      <w:r w:rsidR="00B219F9" w:rsidRPr="006C2124">
        <w:rPr>
          <w:rFonts w:cs="Tahoma"/>
          <w:szCs w:val="20"/>
        </w:rPr>
        <w:t xml:space="preserve"> – баллы, присуждаемые i-му участнику;</w:t>
      </w:r>
    </w:p>
    <w:p w14:paraId="6A8E511B" w14:textId="77777777" w:rsidR="00B219F9" w:rsidRPr="006C2124" w:rsidRDefault="00B219F9" w:rsidP="00B219F9">
      <w:pPr>
        <w:jc w:val="both"/>
        <w:rPr>
          <w:rFonts w:cs="Tahoma"/>
          <w:color w:val="333333"/>
          <w:szCs w:val="20"/>
          <w:shd w:val="clear" w:color="auto" w:fill="FFFFFF"/>
        </w:rPr>
      </w:pPr>
    </w:p>
    <w:p w14:paraId="70CA7423" w14:textId="77777777" w:rsidR="00B219F9" w:rsidRPr="006C2124" w:rsidRDefault="007841E2" w:rsidP="00B219F9">
      <w:pPr>
        <w:rPr>
          <w:rFonts w:cs="Tahoma"/>
          <w:szCs w:val="20"/>
        </w:rPr>
      </w:pPr>
      <m:oMath>
        <m:sSub>
          <m:sSubPr>
            <m:ctrlPr>
              <w:rPr>
                <w:rFonts w:ascii="Cambria Math" w:hAnsi="Cambria Math" w:cs="Tahoma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szCs w:val="20"/>
              </w:rPr>
              <m:t>Количество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  <w:szCs w:val="20"/>
              </w:rPr>
              <m:t>Д</m:t>
            </m:r>
            <m:r>
              <w:rPr>
                <w:rFonts w:ascii="Cambria Math" w:hAnsi="Cambria Math" w:cs="Tahoma"/>
                <w:szCs w:val="20"/>
              </w:rPr>
              <m:t>max</m:t>
            </m:r>
          </m:sub>
        </m:sSub>
      </m:oMath>
      <w:r w:rsidR="00B219F9" w:rsidRPr="006C2124">
        <w:rPr>
          <w:rFonts w:cs="Tahoma"/>
          <w:szCs w:val="20"/>
        </w:rPr>
        <w:t xml:space="preserve"> – максимальное количество    исполненных договоров (контрактов) из предложений, сделанных участниками закупки по критерию оценки;</w:t>
      </w:r>
    </w:p>
    <w:p w14:paraId="21D6622C" w14:textId="77777777" w:rsidR="00B219F9" w:rsidRPr="006C2124" w:rsidRDefault="007841E2" w:rsidP="00B219F9">
      <w:pPr>
        <w:rPr>
          <w:rFonts w:cs="Tahoma"/>
          <w:szCs w:val="20"/>
        </w:rPr>
      </w:pPr>
      <m:oMath>
        <m:sSub>
          <m:sSubPr>
            <m:ctrlPr>
              <w:rPr>
                <w:rFonts w:ascii="Cambria Math" w:hAnsi="Cambria Math" w:cs="Tahoma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szCs w:val="20"/>
              </w:rPr>
              <m:t>Количество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  <w:szCs w:val="20"/>
              </w:rPr>
              <m:t>Д</m:t>
            </m:r>
            <m:r>
              <w:rPr>
                <w:rFonts w:ascii="Cambria Math" w:hAnsi="Cambria Math" w:cs="Tahoma"/>
                <w:szCs w:val="20"/>
              </w:rPr>
              <m:t>i</m:t>
            </m:r>
          </m:sub>
        </m:sSub>
      </m:oMath>
      <w:r w:rsidR="00B219F9" w:rsidRPr="006C2124">
        <w:rPr>
          <w:rFonts w:cs="Tahoma"/>
          <w:szCs w:val="20"/>
        </w:rPr>
        <w:t xml:space="preserve">     – количество    исполненных договоров (контрактов) участника закупки, заявка (предложение) которого оценивается;</w:t>
      </w:r>
    </w:p>
    <w:p w14:paraId="3880E469" w14:textId="77777777" w:rsidR="00B219F9" w:rsidRPr="006C2124" w:rsidRDefault="00B219F9" w:rsidP="00B219F9">
      <w:pPr>
        <w:jc w:val="both"/>
        <w:rPr>
          <w:rFonts w:cs="Tahoma"/>
          <w:szCs w:val="20"/>
        </w:rPr>
      </w:pPr>
      <w:r w:rsidRPr="006C2124">
        <w:rPr>
          <w:rFonts w:cs="Tahoma"/>
          <w:szCs w:val="20"/>
        </w:rPr>
        <w:t>i – участник закупки</w:t>
      </w:r>
    </w:p>
    <w:p w14:paraId="43C7735A" w14:textId="77777777" w:rsidR="00B219F9" w:rsidRPr="006C2124" w:rsidRDefault="00B219F9" w:rsidP="00B219F9">
      <w:pPr>
        <w:jc w:val="both"/>
        <w:rPr>
          <w:rFonts w:cs="Tahoma"/>
          <w:szCs w:val="20"/>
        </w:rPr>
      </w:pPr>
    </w:p>
    <w:p w14:paraId="730772D6" w14:textId="77777777" w:rsidR="00B219F9" w:rsidRDefault="00B219F9" w:rsidP="00B219F9">
      <w:pPr>
        <w:ind w:firstLine="708"/>
        <w:rPr>
          <w:rFonts w:cs="Tahoma"/>
          <w:szCs w:val="20"/>
        </w:rPr>
      </w:pPr>
      <w:r w:rsidRPr="006C2124">
        <w:rPr>
          <w:rFonts w:cs="Tahoma"/>
          <w:szCs w:val="20"/>
        </w:rPr>
        <w:t>Значения баллов, полученные по данной формуле, округляются до четырех знаков после запятой.</w:t>
      </w:r>
    </w:p>
    <w:p w14:paraId="01E075AA" w14:textId="77777777" w:rsidR="00B219F9" w:rsidRDefault="00B219F9" w:rsidP="00B219F9">
      <w:pPr>
        <w:ind w:firstLine="708"/>
        <w:rPr>
          <w:rFonts w:cs="Tahoma"/>
          <w:szCs w:val="20"/>
        </w:rPr>
      </w:pPr>
    </w:p>
    <w:p w14:paraId="6E04CE9B" w14:textId="57EB8880" w:rsidR="00B219F9" w:rsidRPr="006C2124" w:rsidRDefault="00B219F9" w:rsidP="00B219F9">
      <w:pPr>
        <w:ind w:firstLine="708"/>
        <w:rPr>
          <w:rFonts w:eastAsia="Calibri" w:cs="Tahoma"/>
          <w:b/>
          <w:bCs/>
          <w:szCs w:val="20"/>
          <w:lang w:eastAsia="en-US"/>
        </w:rPr>
      </w:pPr>
      <w:r w:rsidRPr="006C2124">
        <w:rPr>
          <w:rFonts w:eastAsia="Calibri" w:cs="Tahoma"/>
          <w:b/>
          <w:bCs/>
          <w:szCs w:val="20"/>
          <w:lang w:eastAsia="en-US"/>
        </w:rPr>
        <w:t>Методика расчета интегральной оценки общей предпочтительности заявки.</w:t>
      </w:r>
    </w:p>
    <w:p w14:paraId="4976F529" w14:textId="77777777" w:rsidR="00B219F9" w:rsidRPr="006C2124" w:rsidRDefault="00B219F9" w:rsidP="00B219F9">
      <w:pPr>
        <w:ind w:firstLine="709"/>
        <w:jc w:val="both"/>
        <w:rPr>
          <w:rFonts w:cs="Tahoma"/>
          <w:bCs/>
          <w:szCs w:val="20"/>
          <w:lang w:eastAsia="ar-SA"/>
        </w:rPr>
      </w:pPr>
      <w:r w:rsidRPr="006C2124">
        <w:rPr>
          <w:rFonts w:cs="Tahoma"/>
          <w:bCs/>
          <w:szCs w:val="20"/>
          <w:lang w:eastAsia="ar-SA"/>
        </w:rPr>
        <w:t>Полученные оценки по каждому критерию применяются для расчета интегральной оценки общей предпочтительности заявки участника. Данный показатель рассчитывается как сумма полученных балльных оценок с учетом их весовых коэффициентов.</w:t>
      </w:r>
    </w:p>
    <w:p w14:paraId="73A8129D" w14:textId="3F39CB7C" w:rsidR="00B219F9" w:rsidRPr="006C2124" w:rsidRDefault="00B219F9" w:rsidP="00B219F9">
      <w:pPr>
        <w:ind w:firstLine="709"/>
        <w:jc w:val="both"/>
        <w:rPr>
          <w:rFonts w:eastAsia="Calibri" w:cs="Tahoma"/>
          <w:szCs w:val="20"/>
          <w:lang w:eastAsia="en-US"/>
        </w:rPr>
      </w:pPr>
      <w:r w:rsidRPr="006C2124">
        <w:rPr>
          <w:rFonts w:eastAsia="Calibri" w:cs="Tahoma"/>
          <w:szCs w:val="20"/>
          <w:lang w:eastAsia="en-US"/>
        </w:rPr>
        <w:t>Бальная оценка по критерию определяется путем суммирования значений, полученных при произведении средней оценки и коэффициента весомости критерия</w:t>
      </w:r>
      <w:bookmarkStart w:id="0" w:name="_GoBack"/>
      <w:bookmarkEnd w:id="0"/>
      <w:r w:rsidRPr="006C2124">
        <w:rPr>
          <w:rFonts w:eastAsia="Calibri" w:cs="Tahoma"/>
          <w:szCs w:val="20"/>
          <w:lang w:eastAsia="en-US"/>
        </w:rPr>
        <w:t>.</w:t>
      </w:r>
    </w:p>
    <w:p w14:paraId="11DF0062" w14:textId="77777777" w:rsidR="00B219F9" w:rsidRPr="006C2124" w:rsidRDefault="00B219F9" w:rsidP="00B219F9">
      <w:pPr>
        <w:ind w:firstLine="709"/>
        <w:jc w:val="both"/>
        <w:rPr>
          <w:rFonts w:cs="Tahoma"/>
          <w:bCs/>
          <w:szCs w:val="20"/>
          <w:lang w:eastAsia="ar-SA"/>
        </w:rPr>
      </w:pPr>
      <w:r w:rsidRPr="006C2124">
        <w:rPr>
          <w:rFonts w:eastAsia="Calibri" w:cs="Tahoma"/>
          <w:szCs w:val="20"/>
          <w:lang w:eastAsia="en-US"/>
        </w:rPr>
        <w:t>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</w:t>
      </w:r>
      <w:r w:rsidRPr="006C2124">
        <w:rPr>
          <w:rFonts w:cs="Tahoma"/>
          <w:bCs/>
          <w:szCs w:val="20"/>
          <w:lang w:eastAsia="ar-SA"/>
        </w:rPr>
        <w:t>:</w:t>
      </w:r>
    </w:p>
    <w:p w14:paraId="331E6015" w14:textId="77777777" w:rsidR="00B219F9" w:rsidRPr="006C2124" w:rsidRDefault="00B219F9" w:rsidP="00B219F9">
      <w:pPr>
        <w:ind w:firstLine="709"/>
        <w:jc w:val="both"/>
        <w:rPr>
          <w:rFonts w:cs="Tahoma"/>
          <w:szCs w:val="20"/>
        </w:rPr>
      </w:pPr>
    </w:p>
    <w:p w14:paraId="2F58CD1D" w14:textId="77777777" w:rsidR="00B219F9" w:rsidRPr="006C2124" w:rsidRDefault="00B219F9" w:rsidP="00B219F9">
      <w:pPr>
        <w:ind w:firstLine="709"/>
        <w:jc w:val="both"/>
        <w:rPr>
          <w:rFonts w:cs="Tahoma"/>
          <w:szCs w:val="20"/>
          <w:lang w:val="en-US"/>
        </w:rPr>
      </w:pPr>
      <w:proofErr w:type="spellStart"/>
      <w:proofErr w:type="gramStart"/>
      <w:r w:rsidRPr="006C2124">
        <w:rPr>
          <w:rFonts w:cs="Tahoma"/>
          <w:b/>
          <w:bCs/>
          <w:szCs w:val="20"/>
          <w:lang w:val="en-US"/>
        </w:rPr>
        <w:t>R</w:t>
      </w:r>
      <w:r w:rsidRPr="006C2124">
        <w:rPr>
          <w:rFonts w:cs="Tahoma"/>
          <w:b/>
          <w:bCs/>
          <w:szCs w:val="20"/>
          <w:vertAlign w:val="subscript"/>
          <w:lang w:val="en-US"/>
        </w:rPr>
        <w:t>i</w:t>
      </w:r>
      <w:proofErr w:type="spellEnd"/>
      <w:proofErr w:type="gramEnd"/>
      <w:r w:rsidRPr="006C2124">
        <w:rPr>
          <w:rFonts w:cs="Tahoma"/>
          <w:b/>
          <w:bCs/>
          <w:szCs w:val="20"/>
          <w:lang w:val="en-US"/>
        </w:rPr>
        <w:t xml:space="preserve"> </w:t>
      </w:r>
      <w:r w:rsidRPr="006C2124">
        <w:rPr>
          <w:rFonts w:cs="Tahoma"/>
          <w:szCs w:val="20"/>
          <w:lang w:val="en-US"/>
        </w:rPr>
        <w:t xml:space="preserve">= </w:t>
      </w:r>
      <m:oMath>
        <m:sSub>
          <m:sSubPr>
            <m:ctrlPr>
              <w:rPr>
                <w:rFonts w:ascii="Cambria Math" w:hAnsi="Cambria Math" w:cs="Tahoma"/>
                <w:i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Tahoma"/>
                <w:szCs w:val="20"/>
                <w:lang w:val="en-US"/>
              </w:rPr>
              <m:t>Ra</m:t>
            </m:r>
          </m:e>
          <m:sub>
            <m:r>
              <w:rPr>
                <w:rFonts w:ascii="Cambria Math" w:hAnsi="Cambria Math" w:cs="Tahoma"/>
                <w:szCs w:val="20"/>
                <w:lang w:val="en-US"/>
              </w:rPr>
              <m:t>i</m:t>
            </m:r>
          </m:sub>
        </m:sSub>
      </m:oMath>
      <w:r w:rsidRPr="006C2124">
        <w:rPr>
          <w:rFonts w:cs="Tahoma"/>
          <w:szCs w:val="20"/>
          <w:vertAlign w:val="subscript"/>
          <w:lang w:val="en-US"/>
        </w:rPr>
        <w:t>*</w:t>
      </w:r>
      <w:r w:rsidRPr="006C2124">
        <w:rPr>
          <w:rFonts w:cs="Tahoma"/>
          <w:szCs w:val="20"/>
          <w:lang w:val="en-US"/>
        </w:rPr>
        <w:t xml:space="preserve"> V1 + </w:t>
      </w:r>
      <w:proofErr w:type="spellStart"/>
      <w:r w:rsidRPr="006C2124">
        <w:rPr>
          <w:rFonts w:cs="Tahoma"/>
          <w:szCs w:val="20"/>
          <w:lang w:val="en-US" w:eastAsia="en-US"/>
        </w:rPr>
        <w:t>R</w:t>
      </w:r>
      <w:r w:rsidRPr="006C2124">
        <w:rPr>
          <w:rFonts w:cs="Tahoma"/>
          <w:i/>
          <w:iCs/>
          <w:szCs w:val="20"/>
          <w:vertAlign w:val="subscript"/>
          <w:lang w:val="en-US" w:eastAsia="en-US"/>
        </w:rPr>
        <w:t>oi</w:t>
      </w:r>
      <w:proofErr w:type="spellEnd"/>
      <w:r w:rsidRPr="006C2124">
        <w:rPr>
          <w:rFonts w:cs="Tahoma"/>
          <w:szCs w:val="20"/>
          <w:lang w:val="en-US"/>
        </w:rPr>
        <w:t xml:space="preserve"> * V2</w:t>
      </w:r>
    </w:p>
    <w:p w14:paraId="7CC18FF2" w14:textId="77777777" w:rsidR="00B219F9" w:rsidRPr="006C2124" w:rsidRDefault="00B219F9" w:rsidP="00B219F9">
      <w:pPr>
        <w:ind w:firstLine="709"/>
        <w:jc w:val="both"/>
        <w:rPr>
          <w:rFonts w:cs="Tahoma"/>
          <w:szCs w:val="20"/>
        </w:rPr>
      </w:pPr>
      <w:r w:rsidRPr="006C2124">
        <w:rPr>
          <w:rFonts w:cs="Tahoma"/>
          <w:szCs w:val="20"/>
        </w:rPr>
        <w:t>где:</w:t>
      </w:r>
    </w:p>
    <w:p w14:paraId="28BC42E2" w14:textId="77777777" w:rsidR="00B219F9" w:rsidRPr="006C2124" w:rsidRDefault="00B219F9" w:rsidP="00B219F9">
      <w:pPr>
        <w:ind w:firstLine="709"/>
        <w:jc w:val="both"/>
        <w:rPr>
          <w:rFonts w:cs="Tahoma"/>
          <w:szCs w:val="20"/>
        </w:rPr>
      </w:pPr>
      <w:proofErr w:type="spellStart"/>
      <w:r w:rsidRPr="006C2124">
        <w:rPr>
          <w:rFonts w:cs="Tahoma"/>
          <w:b/>
          <w:bCs/>
          <w:szCs w:val="20"/>
        </w:rPr>
        <w:t>Ri</w:t>
      </w:r>
      <w:proofErr w:type="spellEnd"/>
      <w:r w:rsidRPr="006C2124">
        <w:rPr>
          <w:rFonts w:cs="Tahoma"/>
          <w:b/>
          <w:bCs/>
          <w:szCs w:val="20"/>
        </w:rPr>
        <w:t xml:space="preserve">  </w:t>
      </w:r>
      <w:r w:rsidRPr="006C2124">
        <w:rPr>
          <w:rFonts w:cs="Tahoma"/>
          <w:szCs w:val="20"/>
        </w:rPr>
        <w:t>  - общий рейтинг предпочтительности i-й заявки;</w:t>
      </w:r>
    </w:p>
    <w:p w14:paraId="595E9744" w14:textId="77777777" w:rsidR="00B219F9" w:rsidRPr="006C2124" w:rsidRDefault="007841E2" w:rsidP="00B219F9">
      <w:pPr>
        <w:ind w:firstLine="709"/>
        <w:jc w:val="both"/>
        <w:rPr>
          <w:rFonts w:cs="Tahoma"/>
          <w:szCs w:val="20"/>
        </w:rPr>
      </w:pPr>
      <m:oMath>
        <m:sSub>
          <m:sSubPr>
            <m:ctrlPr>
              <w:rPr>
                <w:rFonts w:ascii="Cambria Math" w:hAnsi="Cambria Math" w:cs="Tahoma"/>
                <w:i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Tahoma"/>
                <w:szCs w:val="20"/>
                <w:lang w:val="en-US"/>
              </w:rPr>
              <m:t>Ra</m:t>
            </m:r>
          </m:e>
          <m:sub>
            <m:r>
              <w:rPr>
                <w:rFonts w:ascii="Cambria Math" w:hAnsi="Cambria Math" w:cs="Tahoma"/>
                <w:szCs w:val="20"/>
                <w:lang w:val="en-US"/>
              </w:rPr>
              <m:t>i</m:t>
            </m:r>
          </m:sub>
        </m:sSub>
      </m:oMath>
      <w:r w:rsidR="00B219F9" w:rsidRPr="006C2124">
        <w:rPr>
          <w:rFonts w:cs="Tahoma"/>
          <w:szCs w:val="20"/>
          <w:lang w:val="en-US"/>
        </w:rPr>
        <w:t> </w:t>
      </w:r>
      <w:r w:rsidR="00B219F9" w:rsidRPr="006C2124">
        <w:rPr>
          <w:rFonts w:cs="Tahoma"/>
          <w:szCs w:val="20"/>
        </w:rPr>
        <w:t>- балльная оценка по критерию «</w:t>
      </w:r>
      <w:r w:rsidR="00B219F9" w:rsidRPr="006C2124">
        <w:rPr>
          <w:rFonts w:cs="Tahoma"/>
          <w:szCs w:val="20"/>
          <w:lang w:eastAsia="en-US"/>
        </w:rPr>
        <w:t>Стоимость предложения</w:t>
      </w:r>
      <w:r w:rsidR="00B219F9" w:rsidRPr="006C2124">
        <w:rPr>
          <w:rFonts w:cs="Tahoma"/>
          <w:szCs w:val="20"/>
        </w:rPr>
        <w:t>»;</w:t>
      </w:r>
    </w:p>
    <w:p w14:paraId="1CDDEA44" w14:textId="77777777" w:rsidR="00B219F9" w:rsidRPr="006C2124" w:rsidRDefault="00B219F9" w:rsidP="00B219F9">
      <w:pPr>
        <w:ind w:firstLine="709"/>
        <w:jc w:val="both"/>
        <w:rPr>
          <w:rFonts w:cs="Tahoma"/>
          <w:szCs w:val="20"/>
        </w:rPr>
      </w:pPr>
      <w:proofErr w:type="spellStart"/>
      <w:r w:rsidRPr="006C2124">
        <w:rPr>
          <w:rFonts w:cs="Tahoma"/>
          <w:szCs w:val="20"/>
          <w:lang w:val="en-US" w:eastAsia="en-US"/>
        </w:rPr>
        <w:t>R</w:t>
      </w:r>
      <w:r w:rsidRPr="006C2124">
        <w:rPr>
          <w:rFonts w:cs="Tahoma"/>
          <w:i/>
          <w:iCs/>
          <w:szCs w:val="20"/>
          <w:vertAlign w:val="subscript"/>
          <w:lang w:val="en-US" w:eastAsia="en-US"/>
        </w:rPr>
        <w:t>oi</w:t>
      </w:r>
      <w:proofErr w:type="spellEnd"/>
      <w:r w:rsidRPr="006C2124">
        <w:rPr>
          <w:rFonts w:cs="Tahoma"/>
          <w:i/>
          <w:iCs/>
          <w:szCs w:val="20"/>
          <w:vertAlign w:val="subscript"/>
          <w:lang w:eastAsia="en-US"/>
        </w:rPr>
        <w:t xml:space="preserve"> </w:t>
      </w:r>
      <w:r w:rsidRPr="006C2124">
        <w:rPr>
          <w:rFonts w:cs="Tahoma"/>
          <w:szCs w:val="20"/>
        </w:rPr>
        <w:t>- балльная оценка по критерию «Наличие у Участника опыта оказания аналогичных</w:t>
      </w:r>
      <w:r w:rsidRPr="006C2124">
        <w:rPr>
          <w:rFonts w:cs="Tahoma"/>
          <w:szCs w:val="20"/>
          <w:vertAlign w:val="superscript"/>
        </w:rPr>
        <w:footnoteReference w:id="3"/>
      </w:r>
      <w:r w:rsidRPr="006C2124">
        <w:rPr>
          <w:rFonts w:cs="Tahoma"/>
          <w:szCs w:val="20"/>
        </w:rPr>
        <w:t xml:space="preserve">  услуг»;</w:t>
      </w:r>
    </w:p>
    <w:p w14:paraId="0870EF06" w14:textId="77777777" w:rsidR="00B219F9" w:rsidRPr="006C2124" w:rsidRDefault="00B219F9" w:rsidP="00B219F9">
      <w:pPr>
        <w:ind w:firstLine="709"/>
        <w:jc w:val="both"/>
        <w:rPr>
          <w:rFonts w:cs="Tahoma"/>
          <w:szCs w:val="20"/>
        </w:rPr>
      </w:pPr>
      <w:r w:rsidRPr="006C2124">
        <w:rPr>
          <w:rFonts w:cs="Tahoma"/>
          <w:szCs w:val="20"/>
        </w:rPr>
        <w:t>V1 - весовой коэффициент критерия «</w:t>
      </w:r>
      <w:r w:rsidRPr="006C2124">
        <w:rPr>
          <w:rFonts w:cs="Tahoma"/>
          <w:szCs w:val="20"/>
          <w:lang w:eastAsia="en-US"/>
        </w:rPr>
        <w:t>Стоимость предложения</w:t>
      </w:r>
      <w:r w:rsidRPr="006C2124">
        <w:rPr>
          <w:rFonts w:cs="Tahoma"/>
          <w:szCs w:val="20"/>
        </w:rPr>
        <w:t>»;</w:t>
      </w:r>
    </w:p>
    <w:p w14:paraId="5E1548CB" w14:textId="4D32BAB3" w:rsidR="00B219F9" w:rsidRDefault="00B219F9" w:rsidP="00B219F9">
      <w:pPr>
        <w:ind w:firstLine="709"/>
        <w:jc w:val="both"/>
        <w:rPr>
          <w:rFonts w:cs="Tahoma"/>
          <w:szCs w:val="20"/>
        </w:rPr>
      </w:pPr>
      <w:r w:rsidRPr="006C2124">
        <w:rPr>
          <w:rFonts w:cs="Tahoma"/>
          <w:szCs w:val="20"/>
        </w:rPr>
        <w:t>V2 - весовой коэффициент критерия «Наличие у Участника опыта оказания аналогичных</w:t>
      </w:r>
      <w:r w:rsidRPr="006C2124">
        <w:rPr>
          <w:rFonts w:cs="Tahoma"/>
          <w:szCs w:val="20"/>
          <w:vertAlign w:val="superscript"/>
        </w:rPr>
        <w:footnoteReference w:id="4"/>
      </w:r>
      <w:r w:rsidRPr="006C2124">
        <w:rPr>
          <w:rFonts w:cs="Tahoma"/>
          <w:szCs w:val="20"/>
        </w:rPr>
        <w:t xml:space="preserve">  услуг»</w:t>
      </w:r>
    </w:p>
    <w:sectPr w:rsidR="00B219F9" w:rsidSect="002203A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5E1F8" w14:textId="77777777" w:rsidR="007841E2" w:rsidRDefault="007841E2" w:rsidP="00A2008E">
      <w:r>
        <w:separator/>
      </w:r>
    </w:p>
  </w:endnote>
  <w:endnote w:type="continuationSeparator" w:id="0">
    <w:p w14:paraId="0554EB4B" w14:textId="77777777" w:rsidR="007841E2" w:rsidRDefault="007841E2" w:rsidP="00A2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BB67B" w14:textId="77777777" w:rsidR="007841E2" w:rsidRDefault="007841E2" w:rsidP="00A2008E">
      <w:r>
        <w:separator/>
      </w:r>
    </w:p>
  </w:footnote>
  <w:footnote w:type="continuationSeparator" w:id="0">
    <w:p w14:paraId="3ED1509A" w14:textId="77777777" w:rsidR="007841E2" w:rsidRDefault="007841E2" w:rsidP="00A2008E">
      <w:r>
        <w:continuationSeparator/>
      </w:r>
    </w:p>
  </w:footnote>
  <w:footnote w:id="1">
    <w:p w14:paraId="40B509EA" w14:textId="77777777" w:rsidR="00B219F9" w:rsidRPr="00796406" w:rsidRDefault="00B219F9" w:rsidP="00B219F9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796406">
        <w:rPr>
          <w:rFonts w:cs="Tahoma"/>
          <w:i/>
        </w:rPr>
        <w:t xml:space="preserve">Под аналогичными услугами понимается </w:t>
      </w:r>
      <w:r w:rsidRPr="007E077E">
        <w:rPr>
          <w:rFonts w:cs="Tahoma"/>
          <w:i/>
        </w:rPr>
        <w:t xml:space="preserve">опыт реализации проектов модификации </w:t>
      </w:r>
      <w:r>
        <w:rPr>
          <w:rFonts w:cs="Tahoma"/>
          <w:i/>
        </w:rPr>
        <w:t>нетиповых конфигураций</w:t>
      </w:r>
      <w:r w:rsidRPr="007E077E">
        <w:rPr>
          <w:rFonts w:cs="Tahoma"/>
          <w:i/>
        </w:rPr>
        <w:t xml:space="preserve"> </w:t>
      </w:r>
      <w:r>
        <w:rPr>
          <w:rFonts w:cs="Tahoma"/>
          <w:i/>
        </w:rPr>
        <w:t xml:space="preserve">на </w:t>
      </w:r>
      <w:r w:rsidRPr="007E077E">
        <w:rPr>
          <w:rFonts w:cs="Tahoma"/>
          <w:i/>
        </w:rPr>
        <w:t>платформе 1С</w:t>
      </w:r>
      <w:r>
        <w:rPr>
          <w:rFonts w:cs="Tahoma"/>
          <w:i/>
        </w:rPr>
        <w:t xml:space="preserve"> (перечень типовых конфигураций</w:t>
      </w:r>
      <w:r w:rsidRPr="007E077E">
        <w:rPr>
          <w:rFonts w:cs="Tahoma"/>
          <w:i/>
        </w:rPr>
        <w:t xml:space="preserve"> </w:t>
      </w:r>
      <w:r>
        <w:rPr>
          <w:rFonts w:cs="Tahoma"/>
          <w:i/>
        </w:rPr>
        <w:t xml:space="preserve">на </w:t>
      </w:r>
      <w:r w:rsidRPr="007E077E">
        <w:rPr>
          <w:rFonts w:cs="Tahoma"/>
          <w:i/>
        </w:rPr>
        <w:t>платформе 1С</w:t>
      </w:r>
      <w:r>
        <w:rPr>
          <w:rFonts w:cs="Tahoma"/>
          <w:i/>
        </w:rPr>
        <w:t xml:space="preserve"> указан в приложении 3.1 </w:t>
      </w:r>
      <w:r w:rsidRPr="007E1A08">
        <w:rPr>
          <w:rFonts w:cs="Tahoma"/>
          <w:i/>
        </w:rPr>
        <w:t xml:space="preserve">к </w:t>
      </w:r>
      <w:r>
        <w:rPr>
          <w:rFonts w:cs="Tahoma"/>
          <w:i/>
        </w:rPr>
        <w:t>документации о закупке)</w:t>
      </w:r>
    </w:p>
  </w:footnote>
  <w:footnote w:id="2">
    <w:p w14:paraId="47300C17" w14:textId="77777777" w:rsidR="00B219F9" w:rsidRPr="007E077E" w:rsidRDefault="00B219F9" w:rsidP="00B219F9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796406">
        <w:rPr>
          <w:rFonts w:cs="Tahoma"/>
          <w:i/>
        </w:rPr>
        <w:t xml:space="preserve">Под аналогичными услугами понимается </w:t>
      </w:r>
      <w:r w:rsidRPr="007E077E">
        <w:rPr>
          <w:rFonts w:cs="Tahoma"/>
          <w:i/>
        </w:rPr>
        <w:t xml:space="preserve">опыт реализации проектов модификации </w:t>
      </w:r>
      <w:r>
        <w:rPr>
          <w:rFonts w:cs="Tahoma"/>
          <w:i/>
        </w:rPr>
        <w:t>нетиповых конфигураций</w:t>
      </w:r>
      <w:r w:rsidRPr="007E077E">
        <w:rPr>
          <w:rFonts w:cs="Tahoma"/>
          <w:i/>
        </w:rPr>
        <w:t xml:space="preserve"> </w:t>
      </w:r>
      <w:r>
        <w:rPr>
          <w:rFonts w:cs="Tahoma"/>
          <w:i/>
        </w:rPr>
        <w:t xml:space="preserve">на </w:t>
      </w:r>
      <w:r w:rsidRPr="007E077E">
        <w:rPr>
          <w:rFonts w:cs="Tahoma"/>
          <w:i/>
        </w:rPr>
        <w:t>платформе 1С</w:t>
      </w:r>
      <w:r>
        <w:rPr>
          <w:rFonts w:cs="Tahoma"/>
          <w:i/>
        </w:rPr>
        <w:t xml:space="preserve"> (перечень типовых конфигураций</w:t>
      </w:r>
      <w:r w:rsidRPr="007E077E">
        <w:rPr>
          <w:rFonts w:cs="Tahoma"/>
          <w:i/>
        </w:rPr>
        <w:t xml:space="preserve"> </w:t>
      </w:r>
      <w:r>
        <w:rPr>
          <w:rFonts w:cs="Tahoma"/>
          <w:i/>
        </w:rPr>
        <w:t xml:space="preserve">на </w:t>
      </w:r>
      <w:r w:rsidRPr="007E077E">
        <w:rPr>
          <w:rFonts w:cs="Tahoma"/>
          <w:i/>
        </w:rPr>
        <w:t>платформе 1С</w:t>
      </w:r>
      <w:r>
        <w:rPr>
          <w:rFonts w:cs="Tahoma"/>
          <w:i/>
        </w:rPr>
        <w:t xml:space="preserve"> указан в приложении 3.1 </w:t>
      </w:r>
      <w:r w:rsidRPr="007E1A08">
        <w:rPr>
          <w:rFonts w:cs="Tahoma"/>
          <w:i/>
        </w:rPr>
        <w:t xml:space="preserve">к </w:t>
      </w:r>
      <w:r>
        <w:rPr>
          <w:rFonts w:cs="Tahoma"/>
          <w:i/>
        </w:rPr>
        <w:t>документации о закупке)</w:t>
      </w:r>
    </w:p>
  </w:footnote>
  <w:footnote w:id="3">
    <w:p w14:paraId="194CA281" w14:textId="77777777" w:rsidR="00B219F9" w:rsidRPr="007F1CAC" w:rsidRDefault="00B219F9" w:rsidP="00B219F9">
      <w:pPr>
        <w:pStyle w:val="aa"/>
      </w:pPr>
      <w:r>
        <w:rPr>
          <w:rStyle w:val="ac"/>
        </w:rPr>
        <w:footnoteRef/>
      </w:r>
      <w:r>
        <w:t xml:space="preserve"> </w:t>
      </w:r>
      <w:r w:rsidRPr="00796406">
        <w:rPr>
          <w:rFonts w:cs="Tahoma"/>
          <w:i/>
        </w:rPr>
        <w:t xml:space="preserve">Под аналогичными услугами понимается </w:t>
      </w:r>
      <w:r w:rsidRPr="007E077E">
        <w:rPr>
          <w:rFonts w:cs="Tahoma"/>
          <w:i/>
        </w:rPr>
        <w:t xml:space="preserve">опыт реализации проектов модификации </w:t>
      </w:r>
      <w:r>
        <w:rPr>
          <w:rFonts w:cs="Tahoma"/>
          <w:i/>
        </w:rPr>
        <w:t>нетиповых конфигураций</w:t>
      </w:r>
      <w:r w:rsidRPr="007E077E">
        <w:rPr>
          <w:rFonts w:cs="Tahoma"/>
          <w:i/>
        </w:rPr>
        <w:t xml:space="preserve"> </w:t>
      </w:r>
      <w:r>
        <w:rPr>
          <w:rFonts w:cs="Tahoma"/>
          <w:i/>
        </w:rPr>
        <w:t xml:space="preserve">на </w:t>
      </w:r>
      <w:r w:rsidRPr="007E077E">
        <w:rPr>
          <w:rFonts w:cs="Tahoma"/>
          <w:i/>
        </w:rPr>
        <w:t>платформе 1С</w:t>
      </w:r>
      <w:r>
        <w:rPr>
          <w:rFonts w:cs="Tahoma"/>
          <w:i/>
        </w:rPr>
        <w:t xml:space="preserve"> (перечень типовых конфигураций</w:t>
      </w:r>
      <w:r w:rsidRPr="007E077E">
        <w:rPr>
          <w:rFonts w:cs="Tahoma"/>
          <w:i/>
        </w:rPr>
        <w:t xml:space="preserve"> </w:t>
      </w:r>
      <w:r>
        <w:rPr>
          <w:rFonts w:cs="Tahoma"/>
          <w:i/>
        </w:rPr>
        <w:t xml:space="preserve">на </w:t>
      </w:r>
      <w:r w:rsidRPr="007E077E">
        <w:rPr>
          <w:rFonts w:cs="Tahoma"/>
          <w:i/>
        </w:rPr>
        <w:t>платформе 1С</w:t>
      </w:r>
      <w:r>
        <w:rPr>
          <w:rFonts w:cs="Tahoma"/>
          <w:i/>
        </w:rPr>
        <w:t xml:space="preserve"> указан в приложении 3.1 </w:t>
      </w:r>
      <w:r w:rsidRPr="007E1A08">
        <w:rPr>
          <w:rFonts w:cs="Tahoma"/>
          <w:i/>
        </w:rPr>
        <w:t xml:space="preserve">к </w:t>
      </w:r>
      <w:r>
        <w:rPr>
          <w:rFonts w:cs="Tahoma"/>
          <w:i/>
        </w:rPr>
        <w:t>документации о закупке)</w:t>
      </w:r>
    </w:p>
  </w:footnote>
  <w:footnote w:id="4">
    <w:p w14:paraId="2C02E1AB" w14:textId="77777777" w:rsidR="00B219F9" w:rsidRPr="007E1A08" w:rsidRDefault="00B219F9" w:rsidP="00B219F9">
      <w:pPr>
        <w:pStyle w:val="aa"/>
        <w:rPr>
          <w:rFonts w:cs="Tahoma"/>
          <w:i/>
        </w:rPr>
      </w:pPr>
      <w:r w:rsidRPr="007F1CAC">
        <w:rPr>
          <w:rStyle w:val="ac"/>
        </w:rPr>
        <w:footnoteRef/>
      </w:r>
      <w:r w:rsidRPr="007F1CAC">
        <w:t xml:space="preserve"> </w:t>
      </w:r>
      <w:r w:rsidRPr="00796406">
        <w:rPr>
          <w:rFonts w:cs="Tahoma"/>
          <w:i/>
        </w:rPr>
        <w:t xml:space="preserve">Под аналогичными услугами понимается </w:t>
      </w:r>
      <w:r w:rsidRPr="007E077E">
        <w:rPr>
          <w:rFonts w:cs="Tahoma"/>
          <w:i/>
        </w:rPr>
        <w:t xml:space="preserve">опыт реализации проектов модификации </w:t>
      </w:r>
      <w:r>
        <w:rPr>
          <w:rFonts w:cs="Tahoma"/>
          <w:i/>
        </w:rPr>
        <w:t>нетиповых конфигураций</w:t>
      </w:r>
      <w:r w:rsidRPr="007E077E">
        <w:rPr>
          <w:rFonts w:cs="Tahoma"/>
          <w:i/>
        </w:rPr>
        <w:t xml:space="preserve"> </w:t>
      </w:r>
      <w:r>
        <w:rPr>
          <w:rFonts w:cs="Tahoma"/>
          <w:i/>
        </w:rPr>
        <w:t xml:space="preserve">на </w:t>
      </w:r>
      <w:r w:rsidRPr="007E077E">
        <w:rPr>
          <w:rFonts w:cs="Tahoma"/>
          <w:i/>
        </w:rPr>
        <w:t>платформе 1С</w:t>
      </w:r>
      <w:r>
        <w:rPr>
          <w:rFonts w:cs="Tahoma"/>
          <w:i/>
        </w:rPr>
        <w:t xml:space="preserve"> (перечень типовых конфигураций</w:t>
      </w:r>
      <w:r w:rsidRPr="007E077E">
        <w:rPr>
          <w:rFonts w:cs="Tahoma"/>
          <w:i/>
        </w:rPr>
        <w:t xml:space="preserve"> </w:t>
      </w:r>
      <w:r>
        <w:rPr>
          <w:rFonts w:cs="Tahoma"/>
          <w:i/>
        </w:rPr>
        <w:t xml:space="preserve">на </w:t>
      </w:r>
      <w:r w:rsidRPr="007E077E">
        <w:rPr>
          <w:rFonts w:cs="Tahoma"/>
          <w:i/>
        </w:rPr>
        <w:t>платформе 1С</w:t>
      </w:r>
      <w:r>
        <w:rPr>
          <w:rFonts w:cs="Tahoma"/>
          <w:i/>
        </w:rPr>
        <w:t xml:space="preserve"> указан в приложении 3.1 </w:t>
      </w:r>
      <w:r w:rsidRPr="007E1A08">
        <w:rPr>
          <w:rFonts w:cs="Tahoma"/>
          <w:i/>
        </w:rPr>
        <w:t xml:space="preserve">к </w:t>
      </w:r>
      <w:r>
        <w:rPr>
          <w:rFonts w:cs="Tahoma"/>
          <w:i/>
        </w:rPr>
        <w:t>документации о закупке)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D55A6"/>
    <w:multiLevelType w:val="hybridMultilevel"/>
    <w:tmpl w:val="969C768A"/>
    <w:lvl w:ilvl="0" w:tplc="E7B25BA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6A"/>
    <w:rsid w:val="000377C9"/>
    <w:rsid w:val="00050312"/>
    <w:rsid w:val="00063408"/>
    <w:rsid w:val="00087B15"/>
    <w:rsid w:val="000B6216"/>
    <w:rsid w:val="000F3078"/>
    <w:rsid w:val="000F795C"/>
    <w:rsid w:val="001256B1"/>
    <w:rsid w:val="001C7D8C"/>
    <w:rsid w:val="002203A1"/>
    <w:rsid w:val="0023369E"/>
    <w:rsid w:val="002353EF"/>
    <w:rsid w:val="0024543F"/>
    <w:rsid w:val="002809D3"/>
    <w:rsid w:val="00285A2B"/>
    <w:rsid w:val="002A5BA0"/>
    <w:rsid w:val="002B0DBA"/>
    <w:rsid w:val="002F3F18"/>
    <w:rsid w:val="0036688F"/>
    <w:rsid w:val="00373F8F"/>
    <w:rsid w:val="00384570"/>
    <w:rsid w:val="00402E88"/>
    <w:rsid w:val="0050203B"/>
    <w:rsid w:val="00520251"/>
    <w:rsid w:val="005F311C"/>
    <w:rsid w:val="00605DFA"/>
    <w:rsid w:val="00606379"/>
    <w:rsid w:val="00640198"/>
    <w:rsid w:val="0069657E"/>
    <w:rsid w:val="006B0ED8"/>
    <w:rsid w:val="006C1839"/>
    <w:rsid w:val="006D1C0C"/>
    <w:rsid w:val="0073683B"/>
    <w:rsid w:val="00747CD9"/>
    <w:rsid w:val="00782E4F"/>
    <w:rsid w:val="007841E2"/>
    <w:rsid w:val="007C4DDD"/>
    <w:rsid w:val="00814313"/>
    <w:rsid w:val="008201E4"/>
    <w:rsid w:val="0087756C"/>
    <w:rsid w:val="008B2C3D"/>
    <w:rsid w:val="008F50AC"/>
    <w:rsid w:val="00972A38"/>
    <w:rsid w:val="00975735"/>
    <w:rsid w:val="009E77D0"/>
    <w:rsid w:val="00A2008E"/>
    <w:rsid w:val="00A23515"/>
    <w:rsid w:val="00A3151C"/>
    <w:rsid w:val="00A46058"/>
    <w:rsid w:val="00A72944"/>
    <w:rsid w:val="00AF0E60"/>
    <w:rsid w:val="00B219F9"/>
    <w:rsid w:val="00B37CBB"/>
    <w:rsid w:val="00B47323"/>
    <w:rsid w:val="00B938D1"/>
    <w:rsid w:val="00C00122"/>
    <w:rsid w:val="00C10DDD"/>
    <w:rsid w:val="00CB74EF"/>
    <w:rsid w:val="00D10AFB"/>
    <w:rsid w:val="00D135F0"/>
    <w:rsid w:val="00D50935"/>
    <w:rsid w:val="00D87ACB"/>
    <w:rsid w:val="00DC0C85"/>
    <w:rsid w:val="00DC789E"/>
    <w:rsid w:val="00DF454D"/>
    <w:rsid w:val="00E55F25"/>
    <w:rsid w:val="00E70FFB"/>
    <w:rsid w:val="00E77D6A"/>
    <w:rsid w:val="00EC18DA"/>
    <w:rsid w:val="00EF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7C288"/>
  <w15:chartTrackingRefBased/>
  <w15:docId w15:val="{20260C1F-0F1A-4B97-86B5-3D83B1EC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203A1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AF0E60"/>
    <w:pPr>
      <w:keepNext/>
      <w:keepLines/>
      <w:pageBreakBefore/>
      <w:numPr>
        <w:numId w:val="3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  <w:lang w:val="x-none" w:eastAsia="x-none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2"/>
    <w:next w:val="a2"/>
    <w:link w:val="20"/>
    <w:qFormat/>
    <w:rsid w:val="00AF0E60"/>
    <w:pPr>
      <w:keepNext/>
      <w:numPr>
        <w:ilvl w:val="1"/>
        <w:numId w:val="3"/>
      </w:numPr>
      <w:suppressAutoHyphens/>
      <w:spacing w:before="360" w:after="120"/>
      <w:outlineLvl w:val="1"/>
    </w:pPr>
    <w:rPr>
      <w:rFonts w:ascii="Times New Roman" w:hAnsi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2203A1"/>
    <w:pPr>
      <w:spacing w:after="200"/>
      <w:ind w:left="720" w:firstLine="360"/>
      <w:contextualSpacing/>
      <w:jc w:val="both"/>
    </w:pPr>
    <w:rPr>
      <w:lang w:eastAsia="en-US"/>
    </w:rPr>
  </w:style>
  <w:style w:type="character" w:styleId="a7">
    <w:name w:val="annotation reference"/>
    <w:basedOn w:val="a3"/>
    <w:uiPriority w:val="99"/>
    <w:semiHidden/>
    <w:unhideWhenUsed/>
    <w:rsid w:val="002203A1"/>
    <w:rPr>
      <w:sz w:val="16"/>
      <w:szCs w:val="16"/>
    </w:rPr>
  </w:style>
  <w:style w:type="paragraph" w:styleId="a8">
    <w:name w:val="annotation text"/>
    <w:basedOn w:val="a2"/>
    <w:link w:val="a9"/>
    <w:uiPriority w:val="99"/>
    <w:semiHidden/>
    <w:unhideWhenUsed/>
    <w:rsid w:val="002203A1"/>
    <w:rPr>
      <w:szCs w:val="20"/>
    </w:rPr>
  </w:style>
  <w:style w:type="character" w:customStyle="1" w:styleId="a9">
    <w:name w:val="Текст примечания Знак"/>
    <w:basedOn w:val="a3"/>
    <w:link w:val="a8"/>
    <w:uiPriority w:val="99"/>
    <w:semiHidden/>
    <w:rsid w:val="002203A1"/>
    <w:rPr>
      <w:rFonts w:ascii="Tahoma" w:eastAsia="Times New Roman" w:hAnsi="Tahoma" w:cs="Times New Roman"/>
      <w:sz w:val="20"/>
      <w:szCs w:val="20"/>
      <w:lang w:eastAsia="ru-RU"/>
    </w:rPr>
  </w:style>
  <w:style w:type="paragraph" w:styleId="aa">
    <w:name w:val="footnote text"/>
    <w:basedOn w:val="a2"/>
    <w:link w:val="ab"/>
    <w:rsid w:val="00AF0E60"/>
    <w:rPr>
      <w:szCs w:val="20"/>
    </w:rPr>
  </w:style>
  <w:style w:type="character" w:customStyle="1" w:styleId="ab">
    <w:name w:val="Текст сноски Знак"/>
    <w:basedOn w:val="a3"/>
    <w:link w:val="aa"/>
    <w:rsid w:val="00AF0E60"/>
    <w:rPr>
      <w:rFonts w:ascii="Tahoma" w:eastAsia="Times New Roman" w:hAnsi="Tahoma" w:cs="Times New Roman"/>
      <w:sz w:val="20"/>
      <w:szCs w:val="20"/>
      <w:lang w:eastAsia="ru-RU"/>
    </w:rPr>
  </w:style>
  <w:style w:type="character" w:styleId="ac">
    <w:name w:val="footnote reference"/>
    <w:uiPriority w:val="99"/>
    <w:rsid w:val="00AF0E60"/>
    <w:rPr>
      <w:vertAlign w:val="superscript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uiPriority w:val="9"/>
    <w:rsid w:val="00AF0E60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AF0E6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AF0E60"/>
    <w:pPr>
      <w:numPr>
        <w:ilvl w:val="2"/>
        <w:numId w:val="3"/>
      </w:numPr>
      <w:spacing w:line="360" w:lineRule="auto"/>
      <w:jc w:val="both"/>
    </w:pPr>
    <w:rPr>
      <w:rFonts w:ascii="Times New Roman" w:hAnsi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uiPriority w:val="99"/>
    <w:rsid w:val="00AF0E60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AF0E60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AF0E6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d">
    <w:name w:val="Placeholder Text"/>
    <w:basedOn w:val="a3"/>
    <w:uiPriority w:val="99"/>
    <w:semiHidden/>
    <w:rsid w:val="00782E4F"/>
    <w:rPr>
      <w:color w:val="808080"/>
    </w:rPr>
  </w:style>
  <w:style w:type="paragraph" w:styleId="ae">
    <w:name w:val="annotation subject"/>
    <w:basedOn w:val="a8"/>
    <w:next w:val="a8"/>
    <w:link w:val="af"/>
    <w:uiPriority w:val="99"/>
    <w:semiHidden/>
    <w:unhideWhenUsed/>
    <w:rsid w:val="00972A38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972A38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972A3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972A38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Revision"/>
    <w:hidden/>
    <w:uiPriority w:val="99"/>
    <w:semiHidden/>
    <w:rsid w:val="00520251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2424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esplus</Company>
  <LinksUpToDate>false</LinksUpToDate>
  <CharactersWithSpaces>16211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Аркадий Исаакович</dc:creator>
  <cp:keywords/>
  <dc:description/>
  <cp:lastModifiedBy>Бабикова Наталья Владимировна</cp:lastModifiedBy>
  <cp:revision>26</cp:revision>
  <dcterms:created xsi:type="dcterms:W3CDTF">2019-09-02T03:16:00Z</dcterms:created>
  <dcterms:modified xsi:type="dcterms:W3CDTF">2024-09-20T09:13:00Z</dcterms:modified>
</cp:coreProperties>
</file>